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</w:rPr>
        <w:t xml:space="preserve"> </w:t>
      </w:r>
      <w:r>
        <w:rPr>
          <w:rFonts w:hint="eastAsia" w:ascii="宋体" w:hAnsi="宋体"/>
          <w:sz w:val="52"/>
          <w:u w:val="single"/>
          <w:lang w:val="en-US" w:eastAsia="zh-CN"/>
        </w:rPr>
        <w:t>2022</w:t>
      </w:r>
      <w:r>
        <w:rPr>
          <w:rFonts w:hint="eastAsia" w:ascii="宋体" w:hAnsi="宋体"/>
          <w:sz w:val="52"/>
          <w:u w:val="single"/>
        </w:rPr>
        <w:t xml:space="preserve">   </w:t>
      </w:r>
      <w:r>
        <w:rPr>
          <w:rFonts w:hint="eastAsia" w:ascii="宋体" w:hAnsi="宋体"/>
          <w:sz w:val="52"/>
        </w:rPr>
        <w:t>年度）</w:t>
      </w:r>
    </w:p>
    <w:p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>
      <w:pPr>
        <w:ind w:firstLine="1960" w:firstLineChars="700"/>
        <w:rPr>
          <w:sz w:val="28"/>
        </w:rPr>
      </w:pPr>
    </w:p>
    <w:p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  <w:lang w:val="en-US" w:eastAsia="zh-CN"/>
        </w:rPr>
        <w:t>海南师范大学马克思主义学院</w:t>
      </w:r>
      <w:r>
        <w:rPr>
          <w:rFonts w:hint="eastAsia"/>
          <w:sz w:val="28"/>
          <w:u w:val="single"/>
        </w:rPr>
        <w:t xml:space="preserve"> </w:t>
      </w:r>
    </w:p>
    <w:p>
      <w:pPr>
        <w:ind w:firstLine="1960" w:firstLineChars="700"/>
        <w:rPr>
          <w:sz w:val="28"/>
        </w:rPr>
      </w:pPr>
    </w:p>
    <w:p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 xml:space="preserve">      </w:t>
      </w:r>
      <w:r>
        <w:rPr>
          <w:rFonts w:hint="eastAsia"/>
          <w:sz w:val="30"/>
          <w:u w:val="single"/>
          <w:lang w:val="en-US" w:eastAsia="zh-CN"/>
        </w:rPr>
        <w:t>霍知节</w:t>
      </w:r>
      <w:r>
        <w:rPr>
          <w:rFonts w:hint="eastAsia"/>
          <w:sz w:val="30"/>
          <w:u w:val="single"/>
        </w:rPr>
        <w:t xml:space="preserve">               </w:t>
      </w: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  </w:t>
      </w:r>
      <w:r>
        <w:rPr>
          <w:rFonts w:hint="eastAsia"/>
          <w:sz w:val="30"/>
          <w:u w:val="single"/>
          <w:lang w:val="en-US" w:eastAsia="zh-CN"/>
        </w:rPr>
        <w:t>讲师</w:t>
      </w:r>
      <w:r>
        <w:rPr>
          <w:rFonts w:hint="eastAsia"/>
          <w:sz w:val="24"/>
          <w:u w:val="single"/>
        </w:rPr>
        <w:t xml:space="preserve">                     </w:t>
      </w:r>
    </w:p>
    <w:p>
      <w:pPr>
        <w:ind w:firstLine="1920" w:firstLineChars="800"/>
        <w:rPr>
          <w:sz w:val="24"/>
          <w:u w:val="single"/>
        </w:rPr>
      </w:pP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30"/>
          <w:u w:val="single"/>
          <w:lang w:val="en-US" w:eastAsia="zh-CN"/>
        </w:rPr>
        <w:t xml:space="preserve">马克思主义理论 </w:t>
      </w:r>
      <w:r>
        <w:rPr>
          <w:rFonts w:hint="eastAsia"/>
          <w:sz w:val="24"/>
          <w:u w:val="single"/>
        </w:rPr>
        <w:t xml:space="preserve">       </w:t>
      </w: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30"/>
          <w:u w:val="single"/>
          <w:lang w:val="en-US" w:eastAsia="zh-CN"/>
        </w:rPr>
        <w:t xml:space="preserve">教学科研型副教授 </w:t>
      </w:r>
      <w:r>
        <w:rPr>
          <w:rFonts w:hint="eastAsia"/>
          <w:sz w:val="24"/>
          <w:u w:val="single"/>
        </w:rPr>
        <w:t xml:space="preserve">        </w:t>
      </w: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default" w:ascii="Times New Roman" w:hAnsi="Times New Roman" w:cs="Times New Roman"/>
          <w:color w:val="auto"/>
          <w:sz w:val="24"/>
          <w:highlight w:val="none"/>
          <w:u w:val="single"/>
          <w:lang w:val="en-US" w:eastAsia="zh-CN"/>
        </w:rPr>
        <w:t>15947525969</w:t>
      </w:r>
      <w:r>
        <w:rPr>
          <w:rFonts w:hint="eastAsia"/>
          <w:sz w:val="24"/>
          <w:u w:val="single"/>
        </w:rPr>
        <w:t xml:space="preserve">                  </w:t>
      </w:r>
    </w:p>
    <w:p>
      <w:pPr>
        <w:ind w:firstLine="1920" w:firstLineChars="800"/>
        <w:rPr>
          <w:sz w:val="24"/>
        </w:rPr>
      </w:pP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jc w:val="center"/>
        <w:rPr>
          <w:sz w:val="24"/>
          <w:u w:val="single"/>
        </w:rPr>
      </w:pPr>
    </w:p>
    <w:p>
      <w:pPr>
        <w:ind w:firstLine="2400" w:firstLineChars="1000"/>
        <w:rPr>
          <w:sz w:val="24"/>
        </w:rPr>
      </w:pPr>
      <w:r>
        <w:rPr>
          <w:rFonts w:hint="eastAsia"/>
          <w:sz w:val="24"/>
        </w:rPr>
        <w:t xml:space="preserve">填表时间：        </w:t>
      </w:r>
      <w:r>
        <w:rPr>
          <w:rFonts w:hint="default" w:ascii="Times New Roman" w:hAnsi="Times New Roman" w:cs="Times New Roman"/>
          <w:sz w:val="24"/>
          <w:lang w:val="en-US" w:eastAsia="zh-CN"/>
        </w:rPr>
        <w:t>2023</w:t>
      </w:r>
      <w:r>
        <w:rPr>
          <w:rFonts w:hint="default" w:ascii="Times New Roman" w:hAnsi="Times New Roman" w:cs="Times New Roman"/>
          <w:sz w:val="24"/>
        </w:rPr>
        <w:t xml:space="preserve">  年    </w:t>
      </w:r>
      <w:r>
        <w:rPr>
          <w:rFonts w:hint="default" w:ascii="Times New Roman" w:hAnsi="Times New Roman" w:cs="Times New Roman"/>
          <w:sz w:val="24"/>
          <w:lang w:val="en-US" w:eastAsia="zh-CN"/>
        </w:rPr>
        <w:t>9</w:t>
      </w:r>
      <w:r>
        <w:rPr>
          <w:rFonts w:hint="default" w:ascii="Times New Roman" w:hAnsi="Times New Roman" w:cs="Times New Roman"/>
          <w:sz w:val="24"/>
        </w:rPr>
        <w:t xml:space="preserve">  月   </w:t>
      </w:r>
      <w:r>
        <w:rPr>
          <w:rFonts w:hint="default" w:ascii="Times New Roman" w:hAnsi="Times New Roman" w:cs="Times New Roman"/>
          <w:sz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</w:rPr>
        <w:t xml:space="preserve"> </w:t>
      </w:r>
      <w:r>
        <w:rPr>
          <w:rFonts w:hint="eastAsia"/>
          <w:sz w:val="24"/>
        </w:rPr>
        <w:t xml:space="preserve">  日</w:t>
      </w:r>
    </w:p>
    <w:p>
      <w:pPr>
        <w:ind w:firstLine="2400" w:firstLineChars="1000"/>
        <w:rPr>
          <w:sz w:val="24"/>
        </w:rPr>
      </w:pPr>
    </w:p>
    <w:p>
      <w:pPr>
        <w:ind w:firstLine="2400" w:firstLineChars="1000"/>
        <w:rPr>
          <w:sz w:val="24"/>
        </w:rPr>
      </w:pPr>
    </w:p>
    <w:p>
      <w:pPr>
        <w:ind w:firstLine="2400" w:firstLineChars="1000"/>
        <w:rPr>
          <w:sz w:val="24"/>
        </w:rPr>
      </w:pPr>
    </w:p>
    <w:p>
      <w:pPr>
        <w:ind w:firstLine="2400" w:firstLineChars="1000"/>
        <w:rPr>
          <w:sz w:val="24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>
      <w:pPr>
        <w:jc w:val="center"/>
        <w:rPr>
          <w:rFonts w:eastAsia="黑体"/>
          <w:sz w:val="44"/>
        </w:rPr>
      </w:pPr>
    </w:p>
    <w:p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17—20页由二级学院评审工作委员会或职称办填写。填写内容应经人事部门审核认可，编号由人事（职改）部门统一编制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>
      <w:pPr>
        <w:spacing w:line="54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4.“毕业学校”填毕业学校当时的全称。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6.申报资格名称有：讲师、教学为主型副教授、教学科研型副教授、双师型副教授、教学为主型教授、教学科研型教授、双师型教授。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7.聘任年限应足年，按“5年6个月”格式填写，一年按12个月计算，如2017年3月起聘，到2018年12月，任职年限就只有一年10个月，不到二年。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8.学年及学期表达：如2017-2018(一)、2015-2016(二)。</w:t>
      </w:r>
    </w:p>
    <w:p>
      <w:pPr>
        <w:spacing w:line="540" w:lineRule="exact"/>
        <w:ind w:firstLine="643" w:firstLineChars="2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  <w:u w:val="single"/>
        </w:rPr>
        <w:t>9.如填写表格内容较多，可自行增加行，没有内容的表格可删减行，但至少保留表头及一行，不可全删除。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10.国际人才依据《海南师范大学国际人才申报认定、高聘与评审高级职称管理办法（试行）》（〔2022〕57号）进行申报，评审条件依照《海南师范大学高校教师系列专业技术职务评审管理办法》（〔2021〕87号）执行。</w:t>
      </w:r>
    </w:p>
    <w:p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355"/>
        <w:gridCol w:w="209"/>
        <w:gridCol w:w="3"/>
        <w:gridCol w:w="422"/>
        <w:gridCol w:w="144"/>
        <w:gridCol w:w="139"/>
        <w:gridCol w:w="3"/>
        <w:gridCol w:w="139"/>
        <w:gridCol w:w="571"/>
        <w:gridCol w:w="279"/>
        <w:gridCol w:w="288"/>
        <w:gridCol w:w="708"/>
        <w:gridCol w:w="285"/>
        <w:gridCol w:w="3"/>
        <w:gridCol w:w="67"/>
        <w:gridCol w:w="783"/>
        <w:gridCol w:w="17"/>
        <w:gridCol w:w="263"/>
        <w:gridCol w:w="567"/>
        <w:gridCol w:w="142"/>
        <w:gridCol w:w="146"/>
        <w:gridCol w:w="280"/>
        <w:gridCol w:w="3"/>
        <w:gridCol w:w="277"/>
        <w:gridCol w:w="573"/>
        <w:gridCol w:w="1"/>
        <w:gridCol w:w="141"/>
        <w:gridCol w:w="142"/>
        <w:gridCol w:w="57"/>
        <w:gridCol w:w="368"/>
        <w:gridCol w:w="1"/>
        <w:gridCol w:w="11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姓名</w:t>
            </w:r>
          </w:p>
        </w:tc>
        <w:tc>
          <w:tcPr>
            <w:tcW w:w="1414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霍知节</w:t>
            </w:r>
          </w:p>
        </w:tc>
        <w:tc>
          <w:tcPr>
            <w:tcW w:w="5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女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1976.4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政治</w:t>
            </w:r>
          </w:p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群众</w:t>
            </w:r>
          </w:p>
        </w:tc>
        <w:tc>
          <w:tcPr>
            <w:tcW w:w="1842" w:type="dxa"/>
            <w:gridSpan w:val="6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drawing>
                <wp:inline distT="0" distB="0" distL="114300" distR="114300">
                  <wp:extent cx="1028700" cy="1353185"/>
                  <wp:effectExtent l="0" t="0" r="0" b="3175"/>
                  <wp:docPr id="1" name="图片 1" descr="霍知节照片红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霍知节照片红底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353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教师资格证种类及学科</w:t>
            </w:r>
          </w:p>
        </w:tc>
        <w:tc>
          <w:tcPr>
            <w:tcW w:w="226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马克思主义理论与思想政治教育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1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bookmarkStart w:id="1" w:name="_GoBack"/>
            <w:bookmarkEnd w:id="1"/>
          </w:p>
        </w:tc>
        <w:tc>
          <w:tcPr>
            <w:tcW w:w="1842" w:type="dxa"/>
            <w:gridSpan w:val="6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最高学历</w:t>
            </w:r>
          </w:p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毕业院校</w:t>
            </w:r>
          </w:p>
        </w:tc>
        <w:tc>
          <w:tcPr>
            <w:tcW w:w="1414" w:type="dxa"/>
            <w:gridSpan w:val="8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博士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学位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理学博士</w:t>
            </w:r>
          </w:p>
        </w:tc>
        <w:tc>
          <w:tcPr>
            <w:tcW w:w="115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科学技术史</w:t>
            </w:r>
          </w:p>
        </w:tc>
        <w:tc>
          <w:tcPr>
            <w:tcW w:w="1842" w:type="dxa"/>
            <w:gridSpan w:val="6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现工作单位</w:t>
            </w:r>
          </w:p>
        </w:tc>
        <w:tc>
          <w:tcPr>
            <w:tcW w:w="1414" w:type="dxa"/>
            <w:gridSpan w:val="8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马克思主义学院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参加工作时间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2003.7</w:t>
            </w:r>
          </w:p>
        </w:tc>
        <w:tc>
          <w:tcPr>
            <w:tcW w:w="1155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思想政治教育</w:t>
            </w:r>
          </w:p>
        </w:tc>
        <w:tc>
          <w:tcPr>
            <w:tcW w:w="709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晋升形式</w:t>
            </w:r>
          </w:p>
        </w:tc>
        <w:tc>
          <w:tcPr>
            <w:tcW w:w="11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正常晋升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1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取得现专业技术资格及时间</w:t>
            </w:r>
          </w:p>
        </w:tc>
        <w:tc>
          <w:tcPr>
            <w:tcW w:w="2271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 xml:space="preserve">2012.12 </w:t>
            </w:r>
          </w:p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9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申请学科组名称</w:t>
            </w:r>
          </w:p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(在相应学科前打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√)</w:t>
            </w:r>
          </w:p>
        </w:tc>
        <w:tc>
          <w:tcPr>
            <w:tcW w:w="2976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sym w:font="Wingdings 2" w:char="00A3"/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人文社科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 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□理工科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</w:p>
          <w:p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学科教育组    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kern w:val="0"/>
                <w:szCs w:val="21"/>
              </w:rPr>
              <w:t>艺体外组</w:t>
            </w:r>
          </w:p>
          <w:p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sym w:font="Wingdings 2" w:char="0052"/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马克思主义理论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26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现任专业技术职务聘任时间及聘任单位</w:t>
            </w:r>
          </w:p>
        </w:tc>
        <w:tc>
          <w:tcPr>
            <w:tcW w:w="2271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时间：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2014.12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单位：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北重一中</w:t>
            </w:r>
          </w:p>
        </w:tc>
        <w:tc>
          <w:tcPr>
            <w:tcW w:w="115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年 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 个月</w:t>
            </w:r>
          </w:p>
        </w:tc>
        <w:tc>
          <w:tcPr>
            <w:tcW w:w="85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职业资格证书</w:t>
            </w:r>
          </w:p>
        </w:tc>
        <w:tc>
          <w:tcPr>
            <w:tcW w:w="1559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中级专业技术资格证书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6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高校教师资格证</w:t>
            </w:r>
          </w:p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专业名称</w:t>
            </w:r>
          </w:p>
        </w:tc>
        <w:tc>
          <w:tcPr>
            <w:tcW w:w="3426" w:type="dxa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马克思主义理论与思想政治教育</w:t>
            </w:r>
          </w:p>
        </w:tc>
        <w:tc>
          <w:tcPr>
            <w:tcW w:w="167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外语成绩</w:t>
            </w:r>
          </w:p>
        </w:tc>
        <w:tc>
          <w:tcPr>
            <w:tcW w:w="2416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申报专业</w:t>
            </w:r>
          </w:p>
        </w:tc>
        <w:tc>
          <w:tcPr>
            <w:tcW w:w="1630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马克思主义理论</w:t>
            </w:r>
          </w:p>
        </w:tc>
        <w:tc>
          <w:tcPr>
            <w:tcW w:w="1630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申报资格名称</w:t>
            </w:r>
          </w:p>
        </w:tc>
        <w:tc>
          <w:tcPr>
            <w:tcW w:w="163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教学科研型副教授</w:t>
            </w:r>
          </w:p>
        </w:tc>
        <w:tc>
          <w:tcPr>
            <w:tcW w:w="176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是否以国际人才身份申报</w:t>
            </w:r>
          </w:p>
        </w:tc>
        <w:tc>
          <w:tcPr>
            <w:tcW w:w="15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cs="Arial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 w:val="22"/>
              </w:rPr>
              <w:t xml:space="preserve">□是   </w:t>
            </w:r>
            <w:r>
              <w:rPr>
                <w:rFonts w:hint="eastAsia" w:cs="Arial" w:asciiTheme="minorEastAsia" w:hAnsiTheme="minorEastAsia"/>
                <w:kern w:val="0"/>
                <w:sz w:val="22"/>
              </w:rPr>
              <w:sym w:font="Wingdings 2" w:char="0052"/>
            </w:r>
            <w:r>
              <w:rPr>
                <w:rFonts w:hint="eastAsia" w:cs="Arial" w:asciiTheme="minorEastAsia" w:hAnsiTheme="minorEastAsia"/>
                <w:kern w:val="0"/>
                <w:sz w:val="22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1" w:type="dxa"/>
            <w:gridSpan w:val="5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破格申报条件</w:t>
            </w:r>
          </w:p>
          <w:p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(正常及转评不填)</w:t>
            </w:r>
          </w:p>
        </w:tc>
        <w:tc>
          <w:tcPr>
            <w:tcW w:w="7520" w:type="dxa"/>
            <w:gridSpan w:val="28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61" w:type="dxa"/>
            <w:gridSpan w:val="5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直接评审条件</w:t>
            </w:r>
          </w:p>
          <w:p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(正常及转评不填)</w:t>
            </w:r>
          </w:p>
        </w:tc>
        <w:tc>
          <w:tcPr>
            <w:tcW w:w="7520" w:type="dxa"/>
            <w:gridSpan w:val="28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  <w:lang w:val="en-US" w:eastAsia="zh-CN"/>
              </w:rPr>
              <w:t>正常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3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学习培训经历</w:t>
            </w:r>
          </w:p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4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毕(结肄)业</w:t>
            </w:r>
          </w:p>
        </w:tc>
        <w:tc>
          <w:tcPr>
            <w:tcW w:w="709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</w:t>
            </w:r>
          </w:p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内外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证明人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2000.9-2003.6</w:t>
            </w:r>
          </w:p>
        </w:tc>
        <w:tc>
          <w:tcPr>
            <w:tcW w:w="70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全日制</w:t>
            </w: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内蒙古科技大学</w:t>
            </w:r>
          </w:p>
        </w:tc>
        <w:tc>
          <w:tcPr>
            <w:tcW w:w="2268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信息技术学院</w:t>
            </w:r>
          </w:p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计算机科学与技术</w:t>
            </w:r>
          </w:p>
        </w:tc>
        <w:tc>
          <w:tcPr>
            <w:tcW w:w="854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毕业</w:t>
            </w:r>
          </w:p>
        </w:tc>
        <w:tc>
          <w:tcPr>
            <w:tcW w:w="709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王斌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2013.9-2016.6</w:t>
            </w:r>
          </w:p>
        </w:tc>
        <w:tc>
          <w:tcPr>
            <w:tcW w:w="70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全日制</w:t>
            </w: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内蒙古科技大学</w:t>
            </w:r>
          </w:p>
        </w:tc>
        <w:tc>
          <w:tcPr>
            <w:tcW w:w="2268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历史文化学院</w:t>
            </w:r>
          </w:p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中国史</w:t>
            </w:r>
          </w:p>
        </w:tc>
        <w:tc>
          <w:tcPr>
            <w:tcW w:w="854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毕业</w:t>
            </w:r>
          </w:p>
        </w:tc>
        <w:tc>
          <w:tcPr>
            <w:tcW w:w="709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郝建平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2016.9-2019.6</w:t>
            </w:r>
          </w:p>
        </w:tc>
        <w:tc>
          <w:tcPr>
            <w:tcW w:w="70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全日制</w:t>
            </w: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内蒙古师范大学</w:t>
            </w:r>
          </w:p>
        </w:tc>
        <w:tc>
          <w:tcPr>
            <w:tcW w:w="2268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科学技术史研究院</w:t>
            </w:r>
          </w:p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科学技术史</w:t>
            </w:r>
          </w:p>
        </w:tc>
        <w:tc>
          <w:tcPr>
            <w:tcW w:w="854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毕业</w:t>
            </w:r>
          </w:p>
        </w:tc>
        <w:tc>
          <w:tcPr>
            <w:tcW w:w="709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仪德刚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2019.11.10-11.17</w:t>
            </w:r>
          </w:p>
        </w:tc>
        <w:tc>
          <w:tcPr>
            <w:tcW w:w="70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现场教学</w:t>
            </w: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浙江大学</w:t>
            </w:r>
          </w:p>
        </w:tc>
        <w:tc>
          <w:tcPr>
            <w:tcW w:w="2268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继续教育</w:t>
            </w:r>
          </w:p>
        </w:tc>
        <w:tc>
          <w:tcPr>
            <w:tcW w:w="854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结业</w:t>
            </w:r>
          </w:p>
        </w:tc>
        <w:tc>
          <w:tcPr>
            <w:tcW w:w="709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高昕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2019.11.8-11.17</w:t>
            </w:r>
          </w:p>
        </w:tc>
        <w:tc>
          <w:tcPr>
            <w:tcW w:w="70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现场教学</w:t>
            </w: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中共海南省委党校</w:t>
            </w:r>
          </w:p>
        </w:tc>
        <w:tc>
          <w:tcPr>
            <w:tcW w:w="2268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继续教育</w:t>
            </w:r>
          </w:p>
        </w:tc>
        <w:tc>
          <w:tcPr>
            <w:tcW w:w="854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结业</w:t>
            </w:r>
          </w:p>
        </w:tc>
        <w:tc>
          <w:tcPr>
            <w:tcW w:w="709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高昕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2020.7.11-16</w:t>
            </w:r>
          </w:p>
        </w:tc>
        <w:tc>
          <w:tcPr>
            <w:tcW w:w="70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现场教学</w:t>
            </w: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海南师范大学</w:t>
            </w:r>
          </w:p>
        </w:tc>
        <w:tc>
          <w:tcPr>
            <w:tcW w:w="2268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新入职教师培训</w:t>
            </w:r>
          </w:p>
        </w:tc>
        <w:tc>
          <w:tcPr>
            <w:tcW w:w="854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结业</w:t>
            </w:r>
          </w:p>
        </w:tc>
        <w:tc>
          <w:tcPr>
            <w:tcW w:w="709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李津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2020.10.19-11.7</w:t>
            </w:r>
          </w:p>
        </w:tc>
        <w:tc>
          <w:tcPr>
            <w:tcW w:w="70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现场教学</w:t>
            </w: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陕西师范大学</w:t>
            </w:r>
          </w:p>
        </w:tc>
        <w:tc>
          <w:tcPr>
            <w:tcW w:w="2268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教育部2020年国培</w:t>
            </w:r>
          </w:p>
        </w:tc>
        <w:tc>
          <w:tcPr>
            <w:tcW w:w="854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结业</w:t>
            </w:r>
          </w:p>
        </w:tc>
        <w:tc>
          <w:tcPr>
            <w:tcW w:w="709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秦晶晶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2021.6.29</w:t>
            </w:r>
          </w:p>
        </w:tc>
        <w:tc>
          <w:tcPr>
            <w:tcW w:w="70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现场教学</w:t>
            </w: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/>
                <w:lang w:val="en-US" w:eastAsia="zh-CN"/>
              </w:rPr>
              <w:t>海南师范大学研究生院</w:t>
            </w:r>
          </w:p>
        </w:tc>
        <w:tc>
          <w:tcPr>
            <w:tcW w:w="2268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海南师范大学2022年教育硕士导师培训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结业</w:t>
            </w:r>
          </w:p>
        </w:tc>
        <w:tc>
          <w:tcPr>
            <w:tcW w:w="709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王云华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gridSpan w:val="3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  止  时  间</w:t>
            </w:r>
          </w:p>
        </w:tc>
        <w:tc>
          <w:tcPr>
            <w:tcW w:w="3265" w:type="dxa"/>
            <w:gridSpan w:val="1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      位</w:t>
            </w:r>
          </w:p>
        </w:tc>
        <w:tc>
          <w:tcPr>
            <w:tcW w:w="2410" w:type="dxa"/>
            <w:gridSpan w:val="1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 事 何 专 业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  术  工  作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  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2003</w:t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年 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月— 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2011</w:t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  年  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 月</w:t>
            </w:r>
          </w:p>
        </w:tc>
        <w:tc>
          <w:tcPr>
            <w:tcW w:w="3265" w:type="dxa"/>
            <w:gridSpan w:val="11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  <w:lang w:val="en-US" w:eastAsia="zh-CN"/>
              </w:rPr>
              <w:t>内蒙古科技大学附属中学</w:t>
            </w:r>
          </w:p>
        </w:tc>
        <w:tc>
          <w:tcPr>
            <w:tcW w:w="2410" w:type="dxa"/>
            <w:gridSpan w:val="11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  <w:lang w:val="en-US" w:eastAsia="zh-CN"/>
              </w:rPr>
              <w:t>历史教学</w:t>
            </w:r>
          </w:p>
        </w:tc>
        <w:tc>
          <w:tcPr>
            <w:tcW w:w="1701" w:type="dxa"/>
            <w:gridSpan w:val="5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05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 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2011</w:t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年 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 月—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2019</w:t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  年 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szCs w:val="21"/>
              </w:rPr>
              <w:t>月</w:t>
            </w:r>
          </w:p>
        </w:tc>
        <w:tc>
          <w:tcPr>
            <w:tcW w:w="3265" w:type="dxa"/>
            <w:gridSpan w:val="11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  <w:lang w:val="en-US" w:eastAsia="zh-CN"/>
              </w:rPr>
              <w:t>北重一中</w:t>
            </w:r>
          </w:p>
        </w:tc>
        <w:tc>
          <w:tcPr>
            <w:tcW w:w="2410" w:type="dxa"/>
            <w:gridSpan w:val="11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  <w:lang w:val="en-US" w:eastAsia="zh-CN"/>
              </w:rPr>
              <w:t>历史教学</w:t>
            </w:r>
          </w:p>
        </w:tc>
        <w:tc>
          <w:tcPr>
            <w:tcW w:w="1701" w:type="dxa"/>
            <w:gridSpan w:val="5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05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2019</w:t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 年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月— 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2020</w:t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 年  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 月</w:t>
            </w:r>
          </w:p>
        </w:tc>
        <w:tc>
          <w:tcPr>
            <w:tcW w:w="3265" w:type="dxa"/>
            <w:gridSpan w:val="11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  <w:lang w:val="en-US" w:eastAsia="zh-CN"/>
              </w:rPr>
              <w:t>海南师范大学</w:t>
            </w:r>
          </w:p>
        </w:tc>
        <w:tc>
          <w:tcPr>
            <w:tcW w:w="2410" w:type="dxa"/>
            <w:gridSpan w:val="11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  <w:lang w:val="en-US" w:eastAsia="zh-CN"/>
              </w:rPr>
              <w:t>马克思主义理论教学</w:t>
            </w:r>
          </w:p>
        </w:tc>
        <w:tc>
          <w:tcPr>
            <w:tcW w:w="1701" w:type="dxa"/>
            <w:gridSpan w:val="5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4" w:hRule="atLeast"/>
        </w:trPr>
        <w:tc>
          <w:tcPr>
            <w:tcW w:w="2405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  <w:gridSpan w:val="11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11"/>
          </w:tcPr>
          <w:p>
            <w:pPr>
              <w:rPr>
                <w:sz w:val="18"/>
              </w:rPr>
            </w:pPr>
          </w:p>
        </w:tc>
        <w:tc>
          <w:tcPr>
            <w:tcW w:w="1701" w:type="dxa"/>
            <w:gridSpan w:val="5"/>
          </w:tcPr>
          <w:p>
            <w:pPr>
              <w:rPr>
                <w:sz w:val="18"/>
              </w:rPr>
            </w:pPr>
          </w:p>
        </w:tc>
      </w:tr>
    </w:tbl>
    <w:p/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基本条件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思想品德鉴定及</w:t>
            </w:r>
          </w:p>
          <w:p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1"/>
                <w:szCs w:val="21"/>
              </w:rPr>
              <w:t>该同志思想积极进步，政治觉悟较高，政治立场坚定。热爱祖国、热爱学生，拥护党的路线方针政策，自觉在思想上、组织上、行动上与党组织保持一致，以共产党员的标准严格要求自己。坚持以习近平新时代中国特色社会主义思想为指导，积极参加理论与政治学习，认真学习贯彻党的十九大</w:t>
            </w:r>
            <w:r>
              <w:rPr>
                <w:rFonts w:hint="eastAsia" w:ascii="宋体" w:hAnsi="宋体" w:cs="Arial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Arial"/>
                <w:color w:val="000000"/>
                <w:kern w:val="0"/>
                <w:sz w:val="21"/>
                <w:szCs w:val="21"/>
              </w:rPr>
              <w:t>十九届全会</w:t>
            </w:r>
            <w:r>
              <w:rPr>
                <w:rFonts w:hint="eastAsia" w:ascii="宋体" w:hAnsi="宋体" w:cs="Arial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Arial"/>
                <w:color w:val="000000"/>
                <w:kern w:val="0"/>
                <w:sz w:val="21"/>
                <w:szCs w:val="21"/>
                <w:lang w:val="en-US" w:eastAsia="zh-CN"/>
              </w:rPr>
              <w:t>二十大</w:t>
            </w:r>
            <w:r>
              <w:rPr>
                <w:rFonts w:hint="eastAsia" w:ascii="宋体" w:hAnsi="宋体" w:cs="Arial"/>
                <w:color w:val="000000"/>
                <w:kern w:val="0"/>
                <w:sz w:val="21"/>
                <w:szCs w:val="21"/>
              </w:rPr>
              <w:t>精神，学习“4·13”讲话和中发12号文、全国高校思政工作会议和中发31号文等，坚持言马懂马信马传马，不断增强“四个意识”、坚定“四个自信”、做到“两个维护”。注重团结同事，关心学生，受到师生好评，学风教风整体良好，教育教学活动中言行举止符合教师职业道德规范，遵守社会公德，遵纪守法，始终做到各方面严格要求自己，起到表率作用。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>
            <w:pPr>
              <w:ind w:firstLine="1050" w:firstLineChars="50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分党委书记签名（盖章）：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w w:val="90"/>
                <w:kern w:val="0"/>
                <w:szCs w:val="21"/>
              </w:rPr>
              <w:t>任现职以来年度考核结论</w:t>
            </w:r>
            <w:r>
              <w:rPr>
                <w:rFonts w:hint="eastAsia" w:ascii="宋体" w:hAnsi="宋体" w:cs="Arial"/>
                <w:kern w:val="0"/>
                <w:sz w:val="20"/>
                <w:szCs w:val="21"/>
              </w:rPr>
              <w:t>(高级职称至少填五年）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2017合格；2018合格；2019合格；2020合格；2021合格；2022合格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  <w:t>近三年师德考核结论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cs="Arial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2020合格；2021合格；2022合格；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cs="Arial" w:asciiTheme="minorEastAsia" w:hAnsiTheme="minorEastAsia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sym w:font="Wingdings 2" w:char="0052"/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□是，</w:t>
            </w:r>
            <w:r>
              <w:rPr>
                <w:rFonts w:hint="eastAsia" w:ascii="宋体" w:hAnsi="宋体" w:cs="Arial"/>
                <w:kern w:val="0"/>
                <w:szCs w:val="21"/>
              </w:rPr>
              <w:t>因                          延迟     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内蒙古科技大学附属中学担任班主任8年，北重一中担任班主任3年</w:t>
            </w:r>
          </w:p>
        </w:tc>
      </w:tr>
    </w:tbl>
    <w:p/>
    <w:tbl>
      <w:tblPr>
        <w:tblStyle w:val="5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2"/>
        <w:gridCol w:w="2835"/>
        <w:gridCol w:w="1747"/>
        <w:gridCol w:w="689"/>
        <w:gridCol w:w="654"/>
        <w:gridCol w:w="879"/>
        <w:gridCol w:w="850"/>
        <w:gridCol w:w="5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任现职以来的教学业绩情况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fldChar w:fldCharType="begin"/>
            </w:r>
            <w:r>
              <w:rPr>
                <w:rFonts w:hint="eastAsia" w:ascii="仿宋_GB2312" w:eastAsia="仿宋_GB2312"/>
                <w:szCs w:val="21"/>
              </w:rPr>
              <w:instrText xml:space="preserve"> = 1 \* GB3 </w:instrText>
            </w:r>
            <w:r>
              <w:rPr>
                <w:rFonts w:hint="eastAsia" w:ascii="仿宋_GB2312" w:eastAsia="仿宋_GB2312"/>
                <w:szCs w:val="21"/>
              </w:rPr>
              <w:fldChar w:fldCharType="separate"/>
            </w:r>
            <w:r>
              <w:rPr>
                <w:rFonts w:hint="eastAsia" w:ascii="仿宋_GB2312" w:eastAsia="仿宋_GB2312"/>
                <w:szCs w:val="21"/>
              </w:rPr>
              <w:t>①</w:t>
            </w:r>
            <w:r>
              <w:rPr>
                <w:rFonts w:hint="eastAsia" w:ascii="仿宋_GB2312" w:eastAsia="仿宋_GB2312"/>
                <w:szCs w:val="21"/>
              </w:rPr>
              <w:fldChar w:fldCharType="end"/>
            </w:r>
            <w:r>
              <w:rPr>
                <w:rFonts w:hint="eastAsia" w:ascii="仿宋_GB2312" w:eastAsia="仿宋_GB2312"/>
                <w:szCs w:val="21"/>
              </w:rPr>
              <w:t>任现职以来，承担课堂教学工作量共计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  <w:u w:val="single"/>
                <w:lang w:val="en-US" w:eastAsia="zh-CN"/>
              </w:rPr>
              <w:t>930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  <w:u w:val="single"/>
                <w:lang w:val="en-US" w:eastAsia="zh-CN"/>
              </w:rPr>
              <w:t>266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学时，其中本科生课堂教学工作量共计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  <w:u w:val="single"/>
                <w:lang w:val="en-US" w:eastAsia="zh-CN"/>
              </w:rPr>
              <w:t>606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  <w:u w:val="single"/>
                <w:lang w:val="en-US" w:eastAsia="zh-CN"/>
              </w:rPr>
              <w:t>173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学时，其中实践类共计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szCs w:val="21"/>
              </w:rPr>
              <w:t>学时。</w:t>
            </w:r>
          </w:p>
          <w:p>
            <w:pPr>
              <w:spacing w:line="300" w:lineRule="exact"/>
              <w:jc w:val="left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t>②</w:t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="仿宋_GB2312" w:hAnsi="宋体" w:eastAsia="仿宋_GB2312" w:cs="Arial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 w:cs="Arial"/>
                <w:kern w:val="0"/>
                <w:szCs w:val="21"/>
                <w:u w:val="singl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Arial"/>
                <w:kern w:val="0"/>
                <w:szCs w:val="21"/>
                <w:u w:val="single"/>
              </w:rPr>
              <w:t xml:space="preserve">  % </w:t>
            </w:r>
            <w:r>
              <w:rPr>
                <w:rFonts w:hint="eastAsia" w:ascii="仿宋_GB2312" w:eastAsia="仿宋_GB2312"/>
                <w:szCs w:val="21"/>
              </w:rPr>
              <w:t>。</w:t>
            </w:r>
          </w:p>
          <w:p>
            <w:pPr>
              <w:spacing w:line="300" w:lineRule="exact"/>
              <w:jc w:val="left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t>③</w:t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fldChar w:fldCharType="end"/>
            </w:r>
            <w:r>
              <w:rPr>
                <w:rFonts w:hint="eastAsia" w:ascii="仿宋_GB2312" w:eastAsia="仿宋_GB2312"/>
                <w:szCs w:val="21"/>
              </w:rPr>
              <w:t>本次晋升专业技术资格的课程评估成绩为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  <w:u w:val="single"/>
                <w:lang w:val="en-US" w:eastAsia="zh-CN"/>
              </w:rPr>
              <w:t>A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等级。</w:t>
            </w:r>
          </w:p>
          <w:p>
            <w:pPr>
              <w:spacing w:line="300" w:lineRule="exact"/>
              <w:jc w:val="left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t>④</w:t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担任毕业实习和论文指导工作（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2016、2017、2018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）届；或担任本科生创新创业活动（   ）项；或担任本科生专业竞赛指导（   ）项；或担任本科生开展寒暑假社会实践（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）项。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任现职以来课程教学工作量业绩表（本科生）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课堂教学时数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</w:t>
            </w:r>
          </w:p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(一)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2018社会体育</w:t>
            </w:r>
          </w:p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2017产品设计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pacing w:val="-24"/>
                <w:szCs w:val="21"/>
                <w:lang w:val="en-US" w:eastAsia="zh-CN"/>
              </w:rPr>
              <w:t>12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</w:t>
            </w:r>
          </w:p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二</w:t>
            </w:r>
            <w:r>
              <w:rPr>
                <w:rFonts w:hint="eastAsia" w:ascii="仿宋_GB2312" w:eastAsia="仿宋_GB2312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中西政治制度比较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2017思政教育1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班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72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</w:t>
            </w:r>
          </w:p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二</w:t>
            </w:r>
            <w:r>
              <w:rPr>
                <w:rFonts w:hint="eastAsia" w:ascii="仿宋_GB2312" w:eastAsia="仿宋_GB2312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中国近现代史纲要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2019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体育</w:t>
            </w:r>
            <w:r>
              <w:rPr>
                <w:rFonts w:hint="eastAsia" w:ascii="仿宋_GB2312" w:eastAsia="仿宋_GB2312"/>
                <w:szCs w:val="21"/>
              </w:rPr>
              <w:t>2019美术1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-4</w:t>
            </w:r>
            <w:r>
              <w:rPr>
                <w:rFonts w:hint="eastAsia" w:ascii="仿宋_GB2312" w:eastAsia="仿宋_GB2312"/>
                <w:szCs w:val="21"/>
              </w:rPr>
              <w:t>班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104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</w:t>
            </w:r>
          </w:p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二</w:t>
            </w:r>
            <w:r>
              <w:rPr>
                <w:rFonts w:hint="eastAsia" w:ascii="仿宋_GB2312" w:eastAsia="仿宋_GB2312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2019编导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szCs w:val="21"/>
              </w:rPr>
              <w:t>文史法类7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Cs w:val="21"/>
              </w:rPr>
              <w:t>班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21</w:t>
            </w:r>
          </w:p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一</w:t>
            </w:r>
            <w:r>
              <w:rPr>
                <w:rFonts w:hint="eastAsia" w:ascii="仿宋_GB2312" w:eastAsia="仿宋_GB2312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2019软工1班,数物信类14班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6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21</w:t>
            </w:r>
          </w:p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二</w:t>
            </w:r>
            <w:r>
              <w:rPr>
                <w:rFonts w:hint="eastAsia" w:ascii="仿宋_GB2312" w:eastAsia="仿宋_GB2312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2018计算机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szCs w:val="21"/>
              </w:rPr>
              <w:t>教育技术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21</w:t>
            </w:r>
          </w:p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二</w:t>
            </w:r>
            <w:r>
              <w:rPr>
                <w:rFonts w:hint="eastAsia" w:ascii="仿宋_GB2312" w:eastAsia="仿宋_GB2312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2019体育教育1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-2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szCs w:val="21"/>
              </w:rPr>
              <w:t>武术民传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21</w:t>
            </w:r>
          </w:p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二</w:t>
            </w:r>
            <w:r>
              <w:rPr>
                <w:rFonts w:hint="eastAsia" w:ascii="仿宋_GB2312" w:eastAsia="仿宋_GB2312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2020软工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3-4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6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21</w:t>
            </w:r>
          </w:p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二</w:t>
            </w:r>
            <w:r>
              <w:rPr>
                <w:rFonts w:hint="eastAsia" w:ascii="仿宋_GB2312" w:eastAsia="仿宋_GB2312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中西政治制度比较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Cs w:val="21"/>
              </w:rPr>
              <w:t>思政教育1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班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72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21</w:t>
            </w:r>
          </w:p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二</w:t>
            </w:r>
            <w:r>
              <w:rPr>
                <w:rFonts w:hint="eastAsia" w:ascii="仿宋_GB2312" w:eastAsia="仿宋_GB2312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中国近现代史纲要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2020数物信类14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-</w:t>
            </w:r>
            <w:r>
              <w:rPr>
                <w:rFonts w:hint="eastAsia" w:ascii="仿宋_GB2312" w:eastAsia="仿宋_GB2312"/>
                <w:szCs w:val="21"/>
              </w:rPr>
              <w:t>15班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104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21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22</w:t>
            </w:r>
          </w:p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一</w:t>
            </w:r>
            <w:r>
              <w:rPr>
                <w:rFonts w:hint="eastAsia" w:ascii="仿宋_GB2312" w:eastAsia="仿宋_GB2312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2019法学1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szCs w:val="21"/>
              </w:rPr>
              <w:t>2班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21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22</w:t>
            </w:r>
          </w:p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一</w:t>
            </w:r>
            <w:r>
              <w:rPr>
                <w:rFonts w:hint="eastAsia" w:ascii="仿宋_GB2312" w:eastAsia="仿宋_GB2312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2020文史法类11班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szCs w:val="21"/>
              </w:rPr>
              <w:t>12班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6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21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22</w:t>
            </w:r>
          </w:p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二</w:t>
            </w:r>
            <w:r>
              <w:rPr>
                <w:rFonts w:hint="eastAsia" w:ascii="仿宋_GB2312" w:eastAsia="仿宋_GB2312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2020国际贸易2020会计1班2020绘画2班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21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22</w:t>
            </w:r>
          </w:p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二</w:t>
            </w:r>
            <w:r>
              <w:rPr>
                <w:rFonts w:hint="eastAsia" w:ascii="仿宋_GB2312" w:eastAsia="仿宋_GB2312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 2018服装设计2018国际贸易2018会计1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班2018金融1班2018书法1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30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21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22</w:t>
            </w:r>
          </w:p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二</w:t>
            </w:r>
            <w:r>
              <w:rPr>
                <w:rFonts w:hint="eastAsia" w:ascii="仿宋_GB2312" w:eastAsia="仿宋_GB2312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马克思主义政治经济学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2020思政教育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21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22</w:t>
            </w:r>
          </w:p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二</w:t>
            </w:r>
            <w:r>
              <w:rPr>
                <w:rFonts w:hint="eastAsia" w:ascii="仿宋_GB2312" w:eastAsia="仿宋_GB2312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中国近现代史纲要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2021软（NIIT）</w:t>
            </w:r>
          </w:p>
          <w:p>
            <w:pPr>
              <w:widowControl/>
              <w:jc w:val="left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班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3、4班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104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22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23</w:t>
            </w:r>
            <w:r>
              <w:rPr>
                <w:rFonts w:hint="eastAsia" w:ascii="仿宋_GB2312" w:eastAsia="仿宋_GB2312"/>
                <w:szCs w:val="21"/>
              </w:rPr>
              <w:t xml:space="preserve">  (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一</w:t>
            </w:r>
            <w:r>
              <w:rPr>
                <w:rFonts w:hint="eastAsia" w:ascii="仿宋_GB2312" w:eastAsia="仿宋_GB2312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形势与政策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2019会计1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</w:t>
            </w:r>
          </w:p>
          <w:p>
            <w:pPr>
              <w:widowControl/>
              <w:spacing w:line="240" w:lineRule="auto"/>
              <w:jc w:val="lef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2019金融1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</w:t>
            </w:r>
          </w:p>
          <w:p>
            <w:pPr>
              <w:widowControl/>
              <w:spacing w:line="240" w:lineRule="auto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2021数信14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szCs w:val="21"/>
              </w:rPr>
              <w:t>15</w:t>
            </w:r>
          </w:p>
          <w:p>
            <w:pPr>
              <w:widowControl/>
              <w:spacing w:line="240" w:lineRule="auto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2020新闻</w:t>
            </w:r>
          </w:p>
          <w:p>
            <w:pPr>
              <w:widowControl/>
              <w:spacing w:line="240" w:lineRule="auto"/>
              <w:jc w:val="lef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2020学前教育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606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任现职以来课程教学工作量业绩表（研究生）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课堂教学时数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</w:t>
            </w:r>
          </w:p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(一)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自然辩证法概论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1、2、3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72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21</w:t>
            </w:r>
          </w:p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一</w:t>
            </w:r>
            <w:r>
              <w:rPr>
                <w:rFonts w:hint="eastAsia" w:ascii="仿宋_GB2312" w:eastAsia="仿宋_GB2312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自然辩证法概论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1、2、3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72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21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22</w:t>
            </w:r>
          </w:p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一</w:t>
            </w:r>
            <w:r>
              <w:rPr>
                <w:rFonts w:hint="eastAsia" w:ascii="仿宋_GB2312" w:eastAsia="仿宋_GB2312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自然辩证法概论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1、2、3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72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中国现代化问题研究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20学硕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22</w:t>
            </w:r>
            <w:r>
              <w:rPr>
                <w:rFonts w:hint="eastAsia" w:ascii="仿宋_GB2312" w:eastAsia="仿宋_GB2312"/>
                <w:szCs w:val="21"/>
              </w:rPr>
              <w:t>-20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23</w:t>
            </w:r>
          </w:p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一</w:t>
            </w:r>
            <w:r>
              <w:rPr>
                <w:rFonts w:hint="eastAsia" w:ascii="仿宋_GB2312" w:eastAsia="仿宋_GB2312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自然辩证法概论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1、2、3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72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中国现代化问题研究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21学硕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324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任现职以来实践类教学工作量业绩表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实践教学时数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指导学生实习、论文、实践情况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2020年参加本科生毕业论文指导工作，指导2016届思想政治教育专业3名本科生毕业论文，分别取得82、88、89分的良好成绩，并均顺利完成指导工作。</w:t>
            </w:r>
          </w:p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2021年参加本科生毕业论文指导工作，指导2017届思想政治教育专业3名本科生毕业论文，分别取得85、93、95分，2人获得优秀论文，3人均考上研究生，并均顺利完成指导工作。</w:t>
            </w:r>
          </w:p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2022年参加本科生毕业论文指导工作，指导2018届思想政治教育专业1名本科生毕业论文，获得优秀论文，并考上211硕士研究生，并均顺利完成指导工作。</w:t>
            </w:r>
          </w:p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2022年度思政系调研大赛指导五个项目，并担任评委。</w:t>
            </w:r>
          </w:p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年指导卢智翔、陈立栋、杨航参加“海南师范大学2022年大学生志愿者暑期文化科技卫生“三下乡”社会实践活动”，优秀调查报告（论文）《自贸港建设背景下三亚深海科技城担当“深海使命”研究》获得二等奖。</w:t>
            </w:r>
          </w:p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2022年9月至今，正在指导培养思政专业硕士1人，专业为学科思政。</w:t>
            </w: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</w:tc>
      </w:tr>
    </w:tbl>
    <w:p>
      <w:r>
        <w:br w:type="page"/>
      </w:r>
    </w:p>
    <w:tbl>
      <w:tblPr>
        <w:tblStyle w:val="5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高校教师职务任职资格评审教育教学能力评价计分汇总表2-1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一流课程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国家级(含马工程)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“百佳”出版单位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课堂教学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5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高校教师职务任职资格评审教育教学能力评价计分汇总表2-2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全国A类指导奖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全国B类指导奖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全国C类指导奖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省级指导奖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博士国家级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硕士国家级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</w:tbl>
    <w:p>
      <w:pPr>
        <w:spacing w:line="360" w:lineRule="exact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>
      <w:pPr>
        <w:spacing w:line="360" w:lineRule="exact"/>
        <w:ind w:firstLine="840" w:firstLineChars="35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2.当【课堂教学+教学研究+教学成果三项分值】超过【初始教学总分】的50%时，需将此三项的小计分值按【初始教学总分】的50%计入个人【最后教学总分】（只折算一次）。</w:t>
      </w:r>
    </w:p>
    <w:p>
      <w:pPr>
        <w:spacing w:line="36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/>
    <w:p>
      <w:pPr>
        <w:widowControl/>
        <w:jc w:val="left"/>
      </w:pPr>
      <w:r>
        <w:br w:type="page"/>
      </w:r>
    </w:p>
    <w:p>
      <w:pPr>
        <w:jc w:val="center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一、教学成果奖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二、一流课程奖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三、教学名师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四、教材奖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五、课程教学奖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六、教学研究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  <w:vAlign w:val="center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七、教学作品奖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p>
      <w:pPr>
        <w:widowControl/>
        <w:jc w:val="left"/>
        <w:rPr>
          <w:rFonts w:cs="宋体" w:asciiTheme="minorEastAsia" w:hAnsiTheme="minorEastAsia"/>
          <w:kern w:val="0"/>
          <w:szCs w:val="21"/>
        </w:rPr>
      </w:pPr>
      <w:r>
        <w:rPr>
          <w:rFonts w:cs="宋体" w:asciiTheme="minorEastAsia" w:hAnsiTheme="minorEastAsia"/>
          <w:kern w:val="0"/>
          <w:szCs w:val="21"/>
        </w:rPr>
        <w:br w:type="page"/>
      </w:r>
    </w:p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八、教学指导奖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7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九、教学案例奖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91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37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b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十、优秀论文指导奖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9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任现职以来科研创新能力评价计分汇总表2-1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（社会科学类）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480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p/>
    <w:p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680"/>
        <w:gridCol w:w="1426"/>
        <w:gridCol w:w="2121"/>
        <w:gridCol w:w="297"/>
        <w:gridCol w:w="837"/>
        <w:gridCol w:w="708"/>
        <w:gridCol w:w="712"/>
        <w:gridCol w:w="709"/>
        <w:gridCol w:w="709"/>
        <w:gridCol w:w="7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11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任现职以来科研创新能力评价计分汇总表2-2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（社会科学类）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5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720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任现职以来科研创新能力评价计分汇总表2-1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p>
      <w:pPr>
        <w:widowControl/>
        <w:jc w:val="left"/>
      </w:pPr>
      <w:r>
        <w:br w:type="page"/>
      </w:r>
    </w:p>
    <w:p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459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任现职以来科研创新能力评价计分汇总表2-2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六、知识产权</w:t>
            </w: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/>
    <w:p/>
    <w:p>
      <w:pPr>
        <w:widowControl/>
        <w:jc w:val="left"/>
      </w:pPr>
      <w:r>
        <w:br w:type="page"/>
      </w:r>
    </w:p>
    <w:tbl>
      <w:tblPr>
        <w:tblStyle w:val="6"/>
        <w:tblpPr w:leftFromText="180" w:rightFromText="180" w:vertAnchor="text" w:horzAnchor="page" w:tblpX="1238" w:tblpY="298"/>
        <w:tblOverlap w:val="never"/>
        <w:tblW w:w="978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78"/>
        <w:gridCol w:w="736"/>
        <w:gridCol w:w="2196"/>
        <w:gridCol w:w="1036"/>
        <w:gridCol w:w="932"/>
        <w:gridCol w:w="850"/>
        <w:gridCol w:w="851"/>
        <w:gridCol w:w="709"/>
        <w:gridCol w:w="708"/>
        <w:gridCol w:w="70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任现职以来的科研业绩情况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项目等级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批准号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立项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立项经费（万元）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是否</w:t>
            </w:r>
          </w:p>
          <w:p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结项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省级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海南自贸港建设背景下弘扬“南繁精神”研究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2022HNMGCWT02</w:t>
            </w:r>
          </w:p>
          <w:p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2022-12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否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省级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乡村振兴战略下海南盐文化和盐田遗产系统性保护研究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HNSK(ZC)22-185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2022-6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否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7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市级</w:t>
            </w:r>
          </w:p>
        </w:tc>
        <w:tc>
          <w:tcPr>
            <w:tcW w:w="219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巩固攻坚脱贫成果与乡村振兴有效衔接的现实路径研究——基于海口市农业科研机构的调查</w:t>
            </w:r>
          </w:p>
        </w:tc>
        <w:tc>
          <w:tcPr>
            <w:tcW w:w="10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2022-ZZKT-07</w:t>
            </w:r>
          </w:p>
        </w:tc>
        <w:tc>
          <w:tcPr>
            <w:tcW w:w="932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/>
        </w:tc>
        <w:tc>
          <w:tcPr>
            <w:tcW w:w="8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2022-4</w:t>
            </w:r>
          </w:p>
        </w:tc>
        <w:tc>
          <w:tcPr>
            <w:tcW w:w="85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r>
              <w:rPr>
                <w:rFonts w:hint="eastAsia"/>
                <w:color w:val="auto"/>
                <w:highlight w:val="none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r>
              <w:rPr>
                <w:rFonts w:hint="eastAsia"/>
                <w:color w:val="auto"/>
                <w:highlight w:val="none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6" w:type="dxa"/>
            <w:vMerge w:val="restart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78" w:type="dxa"/>
            <w:tcBorders>
              <w:top w:val="single" w:color="000000" w:sz="12" w:space="0"/>
            </w:tcBorders>
            <w:vAlign w:val="center"/>
          </w:tcPr>
          <w:p>
            <w:r>
              <w:rPr>
                <w:rFonts w:hint="eastAsia"/>
                <w:color w:val="auto"/>
                <w:highlight w:val="none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color="000000" w:sz="12" w:space="0"/>
            </w:tcBorders>
            <w:vAlign w:val="center"/>
          </w:tcPr>
          <w:p>
            <w:r>
              <w:rPr>
                <w:rFonts w:hint="eastAsia"/>
                <w:color w:val="auto"/>
                <w:highlight w:val="none"/>
                <w:lang w:val="en-US" w:eastAsia="zh-CN"/>
              </w:rPr>
              <w:t>校级</w:t>
            </w:r>
          </w:p>
        </w:tc>
        <w:tc>
          <w:tcPr>
            <w:tcW w:w="2196" w:type="dxa"/>
            <w:tcBorders>
              <w:top w:val="single" w:color="000000" w:sz="12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2017年内蒙古师范大学研究生科研创新基金资助项目</w:t>
            </w:r>
          </w:p>
        </w:tc>
        <w:tc>
          <w:tcPr>
            <w:tcW w:w="1036" w:type="dxa"/>
            <w:tcBorders>
              <w:top w:val="single" w:color="000000" w:sz="12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CXJJB17009）</w:t>
            </w:r>
          </w:p>
        </w:tc>
        <w:tc>
          <w:tcPr>
            <w:tcW w:w="932" w:type="dxa"/>
            <w:tcBorders>
              <w:top w:val="single" w:color="000000" w:sz="12" w:space="0"/>
            </w:tcBorders>
            <w:vAlign w:val="center"/>
          </w:tcPr>
          <w:p/>
        </w:tc>
        <w:tc>
          <w:tcPr>
            <w:tcW w:w="850" w:type="dxa"/>
            <w:tcBorders>
              <w:top w:val="single" w:color="000000" w:sz="12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2017-12</w:t>
            </w:r>
          </w:p>
        </w:tc>
        <w:tc>
          <w:tcPr>
            <w:tcW w:w="851" w:type="dxa"/>
            <w:tcBorders>
              <w:top w:val="single" w:color="000000" w:sz="12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>
            <w:r>
              <w:rPr>
                <w:rFonts w:hint="eastAsia"/>
                <w:color w:val="auto"/>
                <w:highlight w:val="none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op w:val="single" w:color="000000" w:sz="12" w:space="0"/>
            </w:tcBorders>
            <w:vAlign w:val="center"/>
          </w:tcPr>
          <w:p>
            <w:r>
              <w:rPr>
                <w:rFonts w:hint="eastAsia"/>
                <w:color w:val="auto"/>
                <w:highlight w:val="none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>
            <w:pPr>
              <w:snapToGrid w:val="0"/>
            </w:pPr>
          </w:p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  <w:color w:val="auto"/>
                <w:highlight w:val="none"/>
                <w:lang w:val="en-US" w:eastAsia="zh-CN"/>
              </w:rPr>
              <w:t>校级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海南师范大学教育教学改革研究项目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hsjg2020-35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2020-12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  <w:color w:val="auto"/>
                <w:highlight w:val="none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  <w:color w:val="auto"/>
                <w:highlight w:val="none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</w:pPr>
          </w:p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校级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《自然辩证法》教学改革研究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2022-4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  <w:color w:val="auto"/>
                <w:highlight w:val="none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  <w:color w:val="auto"/>
                <w:highlight w:val="none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</w:pPr>
          </w:p>
          <w:p/>
        </w:tc>
      </w:tr>
    </w:tbl>
    <w:p>
      <w:pPr>
        <w:ind w:firstLine="420" w:firstLineChars="200"/>
      </w:pPr>
      <w:r>
        <w:rPr>
          <w:rFonts w:hint="eastAsia"/>
        </w:rPr>
        <w:t>注：人文社科类参考评审文件附件1-4填写，自然科学类参考附件1-5填写，项目等级：</w:t>
      </w:r>
      <w:r>
        <w:rPr>
          <w:rFonts w:hint="eastAsia"/>
          <w:b/>
          <w:bCs/>
        </w:rPr>
        <w:t>可计分类</w:t>
      </w:r>
      <w:r>
        <w:rPr>
          <w:rFonts w:hint="eastAsia"/>
        </w:rPr>
        <w:t>按A1到</w:t>
      </w:r>
      <w:r>
        <w:t>E3</w:t>
      </w:r>
      <w:r>
        <w:rPr>
          <w:rFonts w:hint="eastAsia"/>
        </w:rPr>
        <w:t>级填写，不可计分类为F级。</w:t>
      </w:r>
    </w:p>
    <w:tbl>
      <w:tblPr>
        <w:tblStyle w:val="6"/>
        <w:tblpPr w:leftFromText="180" w:rightFromText="180" w:vertAnchor="text" w:horzAnchor="page" w:tblpX="1233" w:tblpY="238"/>
        <w:tblOverlap w:val="never"/>
        <w:tblW w:w="979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604"/>
        <w:gridCol w:w="716"/>
        <w:gridCol w:w="2256"/>
        <w:gridCol w:w="1768"/>
        <w:gridCol w:w="796"/>
        <w:gridCol w:w="923"/>
        <w:gridCol w:w="1210"/>
        <w:gridCol w:w="83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796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9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60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1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刊物级别</w:t>
            </w:r>
          </w:p>
        </w:tc>
        <w:tc>
          <w:tcPr>
            <w:tcW w:w="22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刊物名称，发表</w:t>
            </w:r>
            <w:r>
              <w:rPr>
                <w:rFonts w:hint="eastAsia"/>
                <w:b/>
                <w:bCs/>
              </w:rPr>
              <w:t>年月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和刊期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个人占比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转载</w:t>
            </w:r>
          </w:p>
          <w:p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检索证明</w:t>
            </w:r>
          </w:p>
          <w:p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(有或无)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604" w:type="dxa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l2br w:val="nil"/>
              <w:tr2bl w:val="nil"/>
            </w:tcBorders>
            <w:vAlign w:val="top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E</w:t>
            </w:r>
          </w:p>
        </w:tc>
        <w:tc>
          <w:tcPr>
            <w:tcW w:w="225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“稀土大国”崛起的历程———马鹏起先生访谈录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中国科技史杂志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2018-09-15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第39卷03期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top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04" w:type="dxa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716" w:type="dxa"/>
            <w:tcBorders>
              <w:tl2br w:val="nil"/>
              <w:tr2bl w:val="nil"/>
            </w:tcBorders>
            <w:vAlign w:val="top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D</w:t>
            </w:r>
          </w:p>
        </w:tc>
        <w:tc>
          <w:tcPr>
            <w:tcW w:w="225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我国第一个稀土生产工厂的创建及早期发展（1953—1963) 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自然辩证法通讯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2019-3-18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第41卷 第3期 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top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692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04" w:type="dxa"/>
            <w:tcBorders>
              <w:bottom w:val="single" w:color="auto" w:sz="4" w:space="0"/>
              <w:tl2br w:val="nil"/>
              <w:tr2bl w:val="nil"/>
            </w:tcBorders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3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716" w:type="dxa"/>
            <w:tcBorders>
              <w:bottom w:val="single" w:color="auto" w:sz="4" w:space="0"/>
              <w:tl2br w:val="nil"/>
              <w:tr2bl w:val="nil"/>
            </w:tcBorders>
            <w:vAlign w:val="top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D</w:t>
            </w:r>
          </w:p>
        </w:tc>
        <w:tc>
          <w:tcPr>
            <w:tcW w:w="2256" w:type="dxa"/>
            <w:tcBorders>
              <w:bottom w:val="single" w:color="auto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走向稀土大国的创新之路——包钢稀土一厂的复产与扩建(1964—1977)</w:t>
            </w:r>
          </w:p>
        </w:tc>
        <w:tc>
          <w:tcPr>
            <w:tcW w:w="1768" w:type="dxa"/>
            <w:tcBorders>
              <w:bottom w:val="single" w:color="auto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中国科技史杂志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2019-06-15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第40卷02期</w:t>
            </w:r>
          </w:p>
        </w:tc>
        <w:tc>
          <w:tcPr>
            <w:tcW w:w="796" w:type="dxa"/>
            <w:tcBorders>
              <w:bottom w:val="single" w:color="auto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</w:t>
            </w:r>
          </w:p>
        </w:tc>
        <w:tc>
          <w:tcPr>
            <w:tcW w:w="923" w:type="dxa"/>
            <w:tcBorders>
              <w:bottom w:val="single" w:color="auto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210" w:type="dxa"/>
            <w:tcBorders>
              <w:bottom w:val="single" w:color="auto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bottom w:val="single" w:color="auto" w:sz="4" w:space="0"/>
              <w:tl2br w:val="nil"/>
              <w:tr2bl w:val="nil"/>
            </w:tcBorders>
            <w:vAlign w:val="top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692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04" w:type="dxa"/>
            <w:tcBorders>
              <w:top w:val="single" w:color="auto" w:sz="4" w:space="0"/>
              <w:bottom w:val="single" w:color="000000" w:sz="12" w:space="0"/>
              <w:tl2br w:val="nil"/>
              <w:tr2bl w:val="nil"/>
            </w:tcBorders>
            <w:vAlign w:val="top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4</w:t>
            </w:r>
          </w:p>
        </w:tc>
        <w:tc>
          <w:tcPr>
            <w:tcW w:w="716" w:type="dxa"/>
            <w:tcBorders>
              <w:top w:val="single" w:color="auto" w:sz="4" w:space="0"/>
              <w:bottom w:val="single" w:color="000000" w:sz="12" w:space="0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D</w:t>
            </w:r>
          </w:p>
        </w:tc>
        <w:tc>
          <w:tcPr>
            <w:tcW w:w="2256" w:type="dxa"/>
            <w:tcBorders>
              <w:top w:val="single" w:color="auto" w:sz="4" w:space="0"/>
              <w:bottom w:val="single" w:color="000000" w:sz="12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走向稀土大国的创新之路——包钢稀土一厂的技术创新（1978-1982）</w:t>
            </w:r>
          </w:p>
        </w:tc>
        <w:tc>
          <w:tcPr>
            <w:tcW w:w="1768" w:type="dxa"/>
            <w:tcBorders>
              <w:top w:val="single" w:color="auto" w:sz="4" w:space="0"/>
              <w:bottom w:val="single" w:color="000000" w:sz="12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自然辩证法通讯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2020-12-10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第42卷 第12期</w:t>
            </w:r>
          </w:p>
        </w:tc>
        <w:tc>
          <w:tcPr>
            <w:tcW w:w="796" w:type="dxa"/>
            <w:tcBorders>
              <w:top w:val="single" w:color="auto" w:sz="4" w:space="0"/>
              <w:bottom w:val="single" w:color="000000" w:sz="12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</w:t>
            </w:r>
          </w:p>
        </w:tc>
        <w:tc>
          <w:tcPr>
            <w:tcW w:w="923" w:type="dxa"/>
            <w:tcBorders>
              <w:top w:val="single" w:color="auto" w:sz="4" w:space="0"/>
              <w:bottom w:val="single" w:color="000000" w:sz="12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210" w:type="dxa"/>
            <w:tcBorders>
              <w:top w:val="single" w:color="auto" w:sz="4" w:space="0"/>
              <w:bottom w:val="single" w:color="000000" w:sz="12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op w:val="single" w:color="auto" w:sz="4" w:space="0"/>
              <w:bottom w:val="single" w:color="000000" w:sz="12" w:space="0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92" w:type="dxa"/>
            <w:vMerge w:val="restart"/>
            <w:tcBorders>
              <w:top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604" w:type="dxa"/>
            <w:tcBorders>
              <w:top w:val="single" w:color="000000" w:sz="12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5</w:t>
            </w:r>
          </w:p>
        </w:tc>
        <w:tc>
          <w:tcPr>
            <w:tcW w:w="716" w:type="dxa"/>
            <w:tcBorders>
              <w:top w:val="single" w:color="000000" w:sz="12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256" w:type="dxa"/>
            <w:tcBorders>
              <w:top w:val="single" w:color="000000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端自家碗装自己粮，中国南繁在崛起  农业管理专家柯用春访谈</w:t>
            </w:r>
          </w:p>
        </w:tc>
        <w:tc>
          <w:tcPr>
            <w:tcW w:w="1768" w:type="dxa"/>
            <w:tcBorders>
              <w:top w:val="single" w:color="000000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科学文化评论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2020-4-10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第18卷 第12期</w:t>
            </w:r>
          </w:p>
        </w:tc>
        <w:tc>
          <w:tcPr>
            <w:tcW w:w="796" w:type="dxa"/>
            <w:tcBorders>
              <w:top w:val="single" w:color="000000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</w:t>
            </w:r>
          </w:p>
        </w:tc>
        <w:tc>
          <w:tcPr>
            <w:tcW w:w="923" w:type="dxa"/>
            <w:tcBorders>
              <w:top w:val="single" w:color="000000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210" w:type="dxa"/>
            <w:tcBorders>
              <w:top w:val="single" w:color="000000" w:sz="1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op w:val="single" w:color="000000" w:sz="12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92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</w:pPr>
          </w:p>
        </w:tc>
        <w:tc>
          <w:tcPr>
            <w:tcW w:w="604" w:type="dxa"/>
            <w:tcBorders>
              <w:tl2br w:val="nil"/>
              <w:tr2bl w:val="nil"/>
            </w:tcBorders>
          </w:tcPr>
          <w:p>
            <w:pPr>
              <w:jc w:val="center"/>
            </w:pPr>
          </w:p>
        </w:tc>
        <w:tc>
          <w:tcPr>
            <w:tcW w:w="716" w:type="dxa"/>
            <w:tcBorders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  <w:tc>
          <w:tcPr>
            <w:tcW w:w="2256" w:type="dxa"/>
            <w:tcBorders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  <w:tc>
          <w:tcPr>
            <w:tcW w:w="1768" w:type="dxa"/>
            <w:tcBorders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  <w:tc>
          <w:tcPr>
            <w:tcW w:w="796" w:type="dxa"/>
            <w:tcBorders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  <w:tc>
          <w:tcPr>
            <w:tcW w:w="923" w:type="dxa"/>
            <w:tcBorders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>
            <w:pPr>
              <w:widowControl/>
              <w:snapToGrid w:val="0"/>
              <w:jc w:val="center"/>
            </w:pPr>
          </w:p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692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</w:pPr>
          </w:p>
        </w:tc>
        <w:tc>
          <w:tcPr>
            <w:tcW w:w="604" w:type="dxa"/>
            <w:tcBorders>
              <w:tl2br w:val="nil"/>
              <w:tr2bl w:val="nil"/>
            </w:tcBorders>
          </w:tcPr>
          <w:p>
            <w:pPr>
              <w:jc w:val="center"/>
            </w:pPr>
          </w:p>
        </w:tc>
        <w:tc>
          <w:tcPr>
            <w:tcW w:w="716" w:type="dxa"/>
            <w:tcBorders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  <w:tc>
          <w:tcPr>
            <w:tcW w:w="2256" w:type="dxa"/>
            <w:tcBorders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  <w:tc>
          <w:tcPr>
            <w:tcW w:w="1768" w:type="dxa"/>
            <w:tcBorders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  <w:tc>
          <w:tcPr>
            <w:tcW w:w="796" w:type="dxa"/>
            <w:tcBorders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  <w:tc>
          <w:tcPr>
            <w:tcW w:w="923" w:type="dxa"/>
            <w:tcBorders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>
            <w:pPr>
              <w:widowControl/>
              <w:snapToGrid w:val="0"/>
              <w:jc w:val="center"/>
            </w:pPr>
          </w:p>
          <w:p>
            <w:pPr>
              <w:widowControl/>
              <w:jc w:val="center"/>
            </w:pPr>
          </w:p>
        </w:tc>
      </w:tr>
    </w:tbl>
    <w:p>
      <w:pPr>
        <w:widowControl/>
        <w:ind w:firstLine="420" w:firstLineChars="200"/>
      </w:pPr>
      <w:r>
        <w:rPr>
          <w:rFonts w:hint="eastAsia"/>
        </w:rPr>
        <w:t>注：人文社科类参考评审文件附件1-4填写，自然科学类参考附件1-5填写，刊物级别：</w:t>
      </w:r>
      <w:r>
        <w:rPr>
          <w:rFonts w:hint="eastAsia"/>
          <w:b/>
          <w:bCs/>
        </w:rPr>
        <w:t>可计分类</w:t>
      </w:r>
      <w:r>
        <w:rPr>
          <w:rFonts w:hint="eastAsia"/>
        </w:rPr>
        <w:t>按A到F级填写，不可计分类为G级。</w:t>
      </w:r>
    </w:p>
    <w:p>
      <w:pPr>
        <w:widowControl/>
        <w:ind w:firstLine="420" w:firstLineChars="200"/>
      </w:pPr>
    </w:p>
    <w:tbl>
      <w:tblPr>
        <w:tblStyle w:val="6"/>
        <w:tblpPr w:leftFromText="180" w:rightFromText="180" w:vertAnchor="text" w:horzAnchor="page" w:tblpX="1211" w:tblpY="108"/>
        <w:tblOverlap w:val="never"/>
        <w:tblW w:w="100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67"/>
        <w:gridCol w:w="885"/>
        <w:gridCol w:w="1695"/>
        <w:gridCol w:w="1020"/>
        <w:gridCol w:w="1110"/>
        <w:gridCol w:w="730"/>
        <w:gridCol w:w="1100"/>
        <w:gridCol w:w="860"/>
        <w:gridCol w:w="1035"/>
        <w:gridCol w:w="67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0003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著作</w:t>
            </w:r>
          </w:p>
          <w:p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合（独）著译及排名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出版社和出版年月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CIP核字号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总字数</w:t>
            </w:r>
          </w:p>
          <w:p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个人撰</w:t>
            </w:r>
          </w:p>
          <w:p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写字数</w:t>
            </w: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检索页</w:t>
            </w:r>
            <w:r>
              <w:rPr>
                <w:rFonts w:hint="eastAsia"/>
                <w:b/>
                <w:bCs/>
                <w:sz w:val="18"/>
                <w:szCs w:val="18"/>
              </w:rPr>
              <w:t>（有或无）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46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88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169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102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111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7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11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103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67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26" w:type="dxa"/>
            <w:vMerge w:val="restart"/>
            <w:tcBorders>
              <w:top w:val="single" w:color="000000" w:sz="12" w:space="0"/>
            </w:tcBorders>
            <w:vAlign w:val="center"/>
          </w:tcPr>
          <w:p>
            <w:pPr>
              <w:widowControl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67" w:type="dxa"/>
            <w:tcBorders>
              <w:top w:val="single" w:color="000000" w:sz="12" w:space="0"/>
            </w:tcBorders>
            <w:vAlign w:val="center"/>
          </w:tcPr>
          <w:p>
            <w:pPr>
              <w:widowControl/>
            </w:pPr>
          </w:p>
        </w:tc>
        <w:tc>
          <w:tcPr>
            <w:tcW w:w="885" w:type="dxa"/>
            <w:tcBorders>
              <w:top w:val="single" w:color="000000" w:sz="12" w:space="0"/>
            </w:tcBorders>
            <w:vAlign w:val="center"/>
          </w:tcPr>
          <w:p>
            <w:pPr>
              <w:widowControl/>
            </w:pPr>
          </w:p>
        </w:tc>
        <w:tc>
          <w:tcPr>
            <w:tcW w:w="1695" w:type="dxa"/>
            <w:tcBorders>
              <w:top w:val="single" w:color="000000" w:sz="12" w:space="0"/>
            </w:tcBorders>
            <w:vAlign w:val="center"/>
          </w:tcPr>
          <w:p>
            <w:pPr>
              <w:widowControl/>
            </w:pPr>
          </w:p>
        </w:tc>
        <w:tc>
          <w:tcPr>
            <w:tcW w:w="1020" w:type="dxa"/>
            <w:tcBorders>
              <w:top w:val="single" w:color="000000" w:sz="12" w:space="0"/>
            </w:tcBorders>
            <w:vAlign w:val="center"/>
          </w:tcPr>
          <w:p>
            <w:pPr>
              <w:widowControl/>
            </w:pPr>
          </w:p>
        </w:tc>
        <w:tc>
          <w:tcPr>
            <w:tcW w:w="1110" w:type="dxa"/>
            <w:tcBorders>
              <w:top w:val="single" w:color="000000" w:sz="12" w:space="0"/>
            </w:tcBorders>
            <w:vAlign w:val="center"/>
          </w:tcPr>
          <w:p>
            <w:pPr>
              <w:widowControl/>
            </w:pPr>
          </w:p>
        </w:tc>
        <w:tc>
          <w:tcPr>
            <w:tcW w:w="730" w:type="dxa"/>
            <w:tcBorders>
              <w:top w:val="single" w:color="000000" w:sz="12" w:space="0"/>
            </w:tcBorders>
            <w:vAlign w:val="center"/>
          </w:tcPr>
          <w:p>
            <w:pPr>
              <w:widowControl/>
            </w:pPr>
          </w:p>
        </w:tc>
        <w:tc>
          <w:tcPr>
            <w:tcW w:w="1100" w:type="dxa"/>
            <w:tcBorders>
              <w:top w:val="single" w:color="000000" w:sz="12" w:space="0"/>
            </w:tcBorders>
            <w:vAlign w:val="center"/>
          </w:tcPr>
          <w:p>
            <w:pPr>
              <w:widowControl/>
            </w:pPr>
          </w:p>
        </w:tc>
        <w:tc>
          <w:tcPr>
            <w:tcW w:w="860" w:type="dxa"/>
            <w:tcBorders>
              <w:top w:val="single" w:color="000000" w:sz="12" w:space="0"/>
            </w:tcBorders>
            <w:vAlign w:val="center"/>
          </w:tcPr>
          <w:p>
            <w:pPr>
              <w:widowControl/>
            </w:pPr>
          </w:p>
        </w:tc>
        <w:tc>
          <w:tcPr>
            <w:tcW w:w="1035" w:type="dxa"/>
            <w:tcBorders>
              <w:top w:val="single" w:color="000000" w:sz="12" w:space="0"/>
            </w:tcBorders>
            <w:vAlign w:val="center"/>
          </w:tcPr>
          <w:p>
            <w:pPr>
              <w:widowControl/>
            </w:pPr>
          </w:p>
        </w:tc>
        <w:tc>
          <w:tcPr>
            <w:tcW w:w="675" w:type="dxa"/>
            <w:tcBorders>
              <w:top w:val="single" w:color="000000" w:sz="12" w:space="0"/>
            </w:tcBorders>
            <w:vAlign w:val="center"/>
          </w:tcPr>
          <w:p>
            <w:pPr>
              <w:widowControl/>
              <w:snapToGrid w:val="0"/>
            </w:pPr>
          </w:p>
          <w:p>
            <w:pPr>
              <w:widowControl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napToGrid w:val="0"/>
            </w:pPr>
          </w:p>
          <w:p>
            <w:pPr>
              <w:widowControl/>
            </w:pPr>
          </w:p>
        </w:tc>
      </w:tr>
    </w:tbl>
    <w:p>
      <w:pPr>
        <w:keepLines/>
        <w:widowControl/>
        <w:ind w:firstLine="630" w:firstLineChars="300"/>
        <w:jc w:val="left"/>
        <w:rPr>
          <w:rFonts w:hint="eastAsia"/>
        </w:rPr>
      </w:pPr>
      <w:r>
        <w:rPr>
          <w:rFonts w:hint="eastAsia"/>
        </w:rPr>
        <w:t>注：人文社科类参考评审文件附件1-4填写，自然科学类参考附件1-5填写，著作等级：可计分类按A-C填写，不可计分类为D级。</w:t>
      </w:r>
    </w:p>
    <w:p>
      <w:pPr>
        <w:keepLines/>
        <w:widowControl/>
        <w:ind w:firstLine="630" w:firstLineChars="300"/>
        <w:jc w:val="left"/>
        <w:rPr>
          <w:rFonts w:hint="eastAsia"/>
        </w:rPr>
      </w:pPr>
    </w:p>
    <w:tbl>
      <w:tblPr>
        <w:tblStyle w:val="6"/>
        <w:tblpPr w:leftFromText="181" w:rightFromText="181" w:topFromText="170" w:vertAnchor="text" w:horzAnchor="page" w:tblpX="1220" w:tblpY="292"/>
        <w:tblOverlap w:val="never"/>
        <w:tblW w:w="100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887"/>
        <w:gridCol w:w="1281"/>
        <w:gridCol w:w="1814"/>
        <w:gridCol w:w="1200"/>
        <w:gridCol w:w="736"/>
        <w:gridCol w:w="1105"/>
        <w:gridCol w:w="1104"/>
        <w:gridCol w:w="750"/>
        <w:gridCol w:w="64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0033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ind w:firstLine="4081" w:firstLineChars="1936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四、科研成果奖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0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overflowPunct w:val="0"/>
              <w:jc w:val="center"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奖励等级</w:t>
            </w: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获奖成果名称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获奖</w:t>
            </w:r>
          </w:p>
          <w:p>
            <w:pPr>
              <w:overflowPunct w:val="0"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奖励名称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获奖</w:t>
            </w:r>
          </w:p>
          <w:p>
            <w:pPr>
              <w:overflowPunct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第几</w:t>
            </w:r>
          </w:p>
          <w:p>
            <w:pPr>
              <w:overflowPunct w:val="0"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完成人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0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overflowPunct w:val="0"/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</w:pP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</w:pP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</w:pP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08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</w:pPr>
          </w:p>
        </w:tc>
        <w:tc>
          <w:tcPr>
            <w:tcW w:w="88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</w:pPr>
          </w:p>
        </w:tc>
        <w:tc>
          <w:tcPr>
            <w:tcW w:w="128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</w:pPr>
          </w:p>
        </w:tc>
        <w:tc>
          <w:tcPr>
            <w:tcW w:w="181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</w:pPr>
          </w:p>
        </w:tc>
        <w:tc>
          <w:tcPr>
            <w:tcW w:w="12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</w:pPr>
          </w:p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</w:pPr>
          </w:p>
        </w:tc>
        <w:tc>
          <w:tcPr>
            <w:tcW w:w="110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</w:pPr>
          </w:p>
        </w:tc>
        <w:tc>
          <w:tcPr>
            <w:tcW w:w="110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</w:pP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</w:pPr>
          </w:p>
        </w:tc>
        <w:tc>
          <w:tcPr>
            <w:tcW w:w="64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overflowPunct w:val="0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508" w:type="dxa"/>
            <w:vMerge w:val="restart"/>
            <w:tcBorders>
              <w:top w:val="single" w:color="000000" w:sz="12" w:space="0"/>
            </w:tcBorders>
            <w:vAlign w:val="center"/>
          </w:tcPr>
          <w:p>
            <w:pPr>
              <w:widowControl/>
              <w:overflowPunct w:val="0"/>
              <w:jc w:val="center"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887" w:type="dxa"/>
            <w:tcBorders>
              <w:top w:val="single" w:color="000000" w:sz="12" w:space="0"/>
            </w:tcBorders>
          </w:tcPr>
          <w:p>
            <w:pPr>
              <w:overflowPunct w:val="0"/>
              <w:jc w:val="center"/>
            </w:pPr>
          </w:p>
        </w:tc>
        <w:tc>
          <w:tcPr>
            <w:tcW w:w="1281" w:type="dxa"/>
            <w:tcBorders>
              <w:top w:val="single" w:color="000000" w:sz="12" w:space="0"/>
            </w:tcBorders>
          </w:tcPr>
          <w:p>
            <w:pPr>
              <w:overflowPunct w:val="0"/>
              <w:jc w:val="center"/>
            </w:pPr>
          </w:p>
        </w:tc>
        <w:tc>
          <w:tcPr>
            <w:tcW w:w="1814" w:type="dxa"/>
            <w:tcBorders>
              <w:top w:val="single" w:color="000000" w:sz="12" w:space="0"/>
            </w:tcBorders>
          </w:tcPr>
          <w:p>
            <w:pPr>
              <w:overflowPunct w:val="0"/>
              <w:jc w:val="center"/>
            </w:pPr>
          </w:p>
        </w:tc>
        <w:tc>
          <w:tcPr>
            <w:tcW w:w="1200" w:type="dxa"/>
            <w:tcBorders>
              <w:top w:val="single" w:color="000000" w:sz="12" w:space="0"/>
            </w:tcBorders>
          </w:tcPr>
          <w:p>
            <w:pPr>
              <w:overflowPunct w:val="0"/>
              <w:jc w:val="center"/>
            </w:pPr>
          </w:p>
        </w:tc>
        <w:tc>
          <w:tcPr>
            <w:tcW w:w="736" w:type="dxa"/>
            <w:tcBorders>
              <w:top w:val="single" w:color="000000" w:sz="12" w:space="0"/>
            </w:tcBorders>
          </w:tcPr>
          <w:p>
            <w:pPr>
              <w:overflowPunct w:val="0"/>
              <w:jc w:val="center"/>
            </w:pPr>
          </w:p>
        </w:tc>
        <w:tc>
          <w:tcPr>
            <w:tcW w:w="1105" w:type="dxa"/>
            <w:tcBorders>
              <w:top w:val="single" w:color="000000" w:sz="12" w:space="0"/>
            </w:tcBorders>
          </w:tcPr>
          <w:p>
            <w:pPr>
              <w:overflowPunct w:val="0"/>
              <w:jc w:val="center"/>
            </w:pPr>
          </w:p>
        </w:tc>
        <w:tc>
          <w:tcPr>
            <w:tcW w:w="1104" w:type="dxa"/>
            <w:tcBorders>
              <w:top w:val="single" w:color="000000" w:sz="12" w:space="0"/>
            </w:tcBorders>
          </w:tcPr>
          <w:p>
            <w:pPr>
              <w:overflowPunct w:val="0"/>
              <w:jc w:val="center"/>
            </w:pPr>
          </w:p>
        </w:tc>
        <w:tc>
          <w:tcPr>
            <w:tcW w:w="750" w:type="dxa"/>
            <w:tcBorders>
              <w:top w:val="single" w:color="000000" w:sz="12" w:space="0"/>
            </w:tcBorders>
          </w:tcPr>
          <w:p>
            <w:pPr>
              <w:overflowPunct w:val="0"/>
              <w:jc w:val="center"/>
            </w:pPr>
          </w:p>
        </w:tc>
        <w:tc>
          <w:tcPr>
            <w:tcW w:w="648" w:type="dxa"/>
            <w:tcBorders>
              <w:top w:val="single" w:color="000000" w:sz="12" w:space="0"/>
            </w:tcBorders>
          </w:tcPr>
          <w:p>
            <w:pPr>
              <w:overflowPunct w:val="0"/>
              <w:snapToGrid w:val="0"/>
              <w:jc w:val="center"/>
            </w:pPr>
          </w:p>
          <w:p>
            <w:pPr>
              <w:overflowPunct w:val="0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0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overflowPunct w:val="0"/>
              <w:rPr>
                <w:b/>
                <w:bCs/>
              </w:rPr>
            </w:pPr>
          </w:p>
        </w:tc>
        <w:tc>
          <w:tcPr>
            <w:tcW w:w="887" w:type="dxa"/>
            <w:tcBorders>
              <w:tl2br w:val="nil"/>
              <w:tr2bl w:val="nil"/>
            </w:tcBorders>
          </w:tcPr>
          <w:p>
            <w:pPr>
              <w:overflowPunct w:val="0"/>
              <w:jc w:val="center"/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>
            <w:pPr>
              <w:overflowPunct w:val="0"/>
              <w:jc w:val="center"/>
            </w:pPr>
          </w:p>
        </w:tc>
        <w:tc>
          <w:tcPr>
            <w:tcW w:w="1814" w:type="dxa"/>
            <w:tcBorders>
              <w:tl2br w:val="nil"/>
              <w:tr2bl w:val="nil"/>
            </w:tcBorders>
          </w:tcPr>
          <w:p>
            <w:pPr>
              <w:overflowPunct w:val="0"/>
              <w:jc w:val="center"/>
            </w:pPr>
          </w:p>
        </w:tc>
        <w:tc>
          <w:tcPr>
            <w:tcW w:w="1200" w:type="dxa"/>
            <w:tcBorders>
              <w:tl2br w:val="nil"/>
              <w:tr2bl w:val="nil"/>
            </w:tcBorders>
          </w:tcPr>
          <w:p>
            <w:pPr>
              <w:overflowPunct w:val="0"/>
              <w:jc w:val="center"/>
            </w:pPr>
          </w:p>
        </w:tc>
        <w:tc>
          <w:tcPr>
            <w:tcW w:w="736" w:type="dxa"/>
            <w:tcBorders>
              <w:tl2br w:val="nil"/>
              <w:tr2bl w:val="nil"/>
            </w:tcBorders>
          </w:tcPr>
          <w:p>
            <w:pPr>
              <w:overflowPunct w:val="0"/>
              <w:jc w:val="center"/>
            </w:pPr>
          </w:p>
        </w:tc>
        <w:tc>
          <w:tcPr>
            <w:tcW w:w="1105" w:type="dxa"/>
            <w:tcBorders>
              <w:tl2br w:val="nil"/>
              <w:tr2bl w:val="nil"/>
            </w:tcBorders>
          </w:tcPr>
          <w:p>
            <w:pPr>
              <w:overflowPunct w:val="0"/>
              <w:jc w:val="center"/>
            </w:pPr>
          </w:p>
        </w:tc>
        <w:tc>
          <w:tcPr>
            <w:tcW w:w="1104" w:type="dxa"/>
            <w:tcBorders>
              <w:tl2br w:val="nil"/>
              <w:tr2bl w:val="nil"/>
            </w:tcBorders>
          </w:tcPr>
          <w:p>
            <w:pPr>
              <w:overflowPunct w:val="0"/>
              <w:jc w:val="center"/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>
            <w:pPr>
              <w:overflowPunct w:val="0"/>
              <w:jc w:val="center"/>
            </w:pPr>
          </w:p>
        </w:tc>
        <w:tc>
          <w:tcPr>
            <w:tcW w:w="648" w:type="dxa"/>
            <w:tcBorders>
              <w:tl2br w:val="nil"/>
              <w:tr2bl w:val="nil"/>
            </w:tcBorders>
          </w:tcPr>
          <w:p>
            <w:pPr>
              <w:overflowPunct w:val="0"/>
              <w:snapToGrid w:val="0"/>
              <w:jc w:val="center"/>
            </w:pPr>
          </w:p>
          <w:p>
            <w:pPr>
              <w:overflowPunct w:val="0"/>
              <w:jc w:val="center"/>
            </w:pPr>
          </w:p>
        </w:tc>
      </w:tr>
    </w:tbl>
    <w:p>
      <w:pPr>
        <w:overflowPunct w:val="0"/>
        <w:ind w:firstLine="420" w:firstLineChars="200"/>
      </w:pPr>
      <w:r>
        <w:rPr>
          <w:rFonts w:hint="eastAsia"/>
        </w:rPr>
        <w:t>注：人文社科类参考评审文件附件1-4填写，自然科学类参考附件1-5填写，奖励等级：可计分类按A级-C级填写，不可类分类为D级；获奖等级按特等奖、一等奖、二等奖、三等奖、其他类填写。</w:t>
      </w:r>
    </w:p>
    <w:tbl>
      <w:tblPr>
        <w:tblStyle w:val="6"/>
        <w:tblpPr w:leftFromText="180" w:rightFromText="180" w:vertAnchor="text" w:horzAnchor="page" w:tblpX="1170" w:tblpY="267"/>
        <w:tblOverlap w:val="never"/>
        <w:tblW w:w="1013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880"/>
        <w:gridCol w:w="1370"/>
        <w:gridCol w:w="2242"/>
        <w:gridCol w:w="1964"/>
        <w:gridCol w:w="1595"/>
        <w:gridCol w:w="737"/>
        <w:gridCol w:w="68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131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五、应用成果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成果等级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6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采纳部门</w:t>
            </w:r>
          </w:p>
          <w:p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（或领导批示）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采纳</w:t>
            </w: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备注</w:t>
            </w: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62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880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jc w:val="center"/>
            </w:pPr>
          </w:p>
        </w:tc>
        <w:tc>
          <w:tcPr>
            <w:tcW w:w="1370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  <w:tc>
          <w:tcPr>
            <w:tcW w:w="2242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  <w:tc>
          <w:tcPr>
            <w:tcW w:w="1964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  <w:tc>
          <w:tcPr>
            <w:tcW w:w="1595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  <w:tc>
          <w:tcPr>
            <w:tcW w:w="737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  <w:tc>
          <w:tcPr>
            <w:tcW w:w="681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62" w:type="dxa"/>
            <w:tcBorders>
              <w:top w:val="single" w:color="000000" w:sz="12" w:space="0"/>
            </w:tcBorders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880" w:type="dxa"/>
            <w:tcBorders>
              <w:top w:val="single" w:color="000000" w:sz="12" w:space="0"/>
            </w:tcBorders>
          </w:tcPr>
          <w:p>
            <w:pPr>
              <w:jc w:val="center"/>
            </w:pPr>
          </w:p>
        </w:tc>
        <w:tc>
          <w:tcPr>
            <w:tcW w:w="1370" w:type="dxa"/>
            <w:tcBorders>
              <w:top w:val="single" w:color="000000" w:sz="12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2242" w:type="dxa"/>
            <w:tcBorders>
              <w:top w:val="single" w:color="000000" w:sz="12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1964" w:type="dxa"/>
            <w:tcBorders>
              <w:top w:val="single" w:color="000000" w:sz="12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1595" w:type="dxa"/>
            <w:tcBorders>
              <w:top w:val="single" w:color="000000" w:sz="12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37" w:type="dxa"/>
            <w:tcBorders>
              <w:top w:val="single" w:color="000000" w:sz="12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681" w:type="dxa"/>
            <w:tcBorders>
              <w:top w:val="single" w:color="000000" w:sz="12" w:space="0"/>
            </w:tcBorders>
          </w:tcPr>
          <w:p>
            <w:pPr>
              <w:widowControl/>
              <w:snapToGrid w:val="0"/>
              <w:jc w:val="center"/>
            </w:pPr>
          </w:p>
          <w:p>
            <w:pPr>
              <w:widowControl/>
              <w:jc w:val="center"/>
            </w:pPr>
          </w:p>
        </w:tc>
      </w:tr>
    </w:tbl>
    <w:p>
      <w:pPr>
        <w:ind w:firstLine="420" w:firstLineChars="200"/>
      </w:pPr>
      <w:r>
        <w:rPr>
          <w:rFonts w:hint="eastAsia"/>
        </w:rPr>
        <w:t>注：人文社科类参考评审文件附件1-4填写，自然科学类参考附件1-5填写，成果等级：可计分类别按A-C填写，不可计分类为D级。</w:t>
      </w:r>
    </w:p>
    <w:p>
      <w:pPr>
        <w:ind w:firstLine="420" w:firstLineChars="200"/>
      </w:pPr>
    </w:p>
    <w:tbl>
      <w:tblPr>
        <w:tblStyle w:val="6"/>
        <w:tblpPr w:leftFromText="180" w:rightFromText="180" w:vertAnchor="text" w:horzAnchor="page" w:tblpX="1223" w:tblpY="48"/>
        <w:tblOverlap w:val="never"/>
        <w:tblW w:w="1015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70"/>
        <w:gridCol w:w="1750"/>
        <w:gridCol w:w="1130"/>
        <w:gridCol w:w="2000"/>
        <w:gridCol w:w="1400"/>
        <w:gridCol w:w="890"/>
        <w:gridCol w:w="75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151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六、文艺创作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</w:rPr>
              <w:t>指标等级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获奖名称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获奖级别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举办单位</w:t>
            </w:r>
          </w:p>
        </w:tc>
        <w:tc>
          <w:tcPr>
            <w:tcW w:w="8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举办</w:t>
            </w: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660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1570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jc w:val="center"/>
            </w:pPr>
          </w:p>
        </w:tc>
        <w:tc>
          <w:tcPr>
            <w:tcW w:w="1750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2000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  <w:tc>
          <w:tcPr>
            <w:tcW w:w="1400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  <w:tc>
          <w:tcPr>
            <w:tcW w:w="890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  <w:tc>
          <w:tcPr>
            <w:tcW w:w="751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60" w:type="dxa"/>
            <w:tcBorders>
              <w:top w:val="single" w:color="000000" w:sz="12" w:space="0"/>
            </w:tcBorders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1570" w:type="dxa"/>
            <w:tcBorders>
              <w:top w:val="single" w:color="000000" w:sz="12" w:space="0"/>
            </w:tcBorders>
          </w:tcPr>
          <w:p>
            <w:pPr>
              <w:jc w:val="center"/>
            </w:pPr>
          </w:p>
        </w:tc>
        <w:tc>
          <w:tcPr>
            <w:tcW w:w="1750" w:type="dxa"/>
            <w:tcBorders>
              <w:top w:val="single" w:color="000000" w:sz="12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1130" w:type="dxa"/>
            <w:tcBorders>
              <w:top w:val="single" w:color="000000" w:sz="12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2000" w:type="dxa"/>
            <w:tcBorders>
              <w:top w:val="single" w:color="000000" w:sz="12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1400" w:type="dxa"/>
            <w:tcBorders>
              <w:top w:val="single" w:color="000000" w:sz="12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890" w:type="dxa"/>
            <w:tcBorders>
              <w:top w:val="single" w:color="000000" w:sz="12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51" w:type="dxa"/>
            <w:tcBorders>
              <w:top w:val="single" w:color="000000" w:sz="12" w:space="0"/>
            </w:tcBorders>
          </w:tcPr>
          <w:p>
            <w:pPr>
              <w:widowControl/>
              <w:snapToGrid w:val="0"/>
              <w:jc w:val="center"/>
            </w:pPr>
          </w:p>
          <w:p>
            <w:pPr>
              <w:widowControl/>
              <w:snapToGrid w:val="0"/>
              <w:jc w:val="center"/>
            </w:pPr>
          </w:p>
          <w:p>
            <w:pPr>
              <w:widowControl/>
              <w:jc w:val="center"/>
            </w:pPr>
          </w:p>
        </w:tc>
      </w:tr>
    </w:tbl>
    <w:p>
      <w:pPr>
        <w:ind w:firstLine="420" w:firstLineChars="200"/>
      </w:pPr>
      <w:r>
        <w:rPr>
          <w:rFonts w:hint="eastAsia"/>
        </w:rPr>
        <w:t>注：人文社科类参考附件1-</w:t>
      </w:r>
      <w:r>
        <w:t>4</w:t>
      </w:r>
      <w:r>
        <w:rPr>
          <w:rFonts w:hint="eastAsia"/>
        </w:rPr>
        <w:t>填写，指标等级：可计分类别按A-C填写，不可计分类别为D级。</w:t>
      </w:r>
    </w:p>
    <w:p/>
    <w:tbl>
      <w:tblPr>
        <w:tblStyle w:val="6"/>
        <w:tblpPr w:leftFromText="180" w:rightFromText="180" w:vertAnchor="text" w:horzAnchor="page" w:tblpX="1198" w:tblpY="58"/>
        <w:tblOverlap w:val="never"/>
        <w:tblW w:w="1014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60"/>
        <w:gridCol w:w="920"/>
        <w:gridCol w:w="1130"/>
        <w:gridCol w:w="1149"/>
        <w:gridCol w:w="1050"/>
        <w:gridCol w:w="1341"/>
        <w:gridCol w:w="909"/>
        <w:gridCol w:w="1411"/>
        <w:gridCol w:w="70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140" w:type="dxa"/>
            <w:gridSpan w:val="10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七、知识产权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7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92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指标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授权专利名称</w:t>
            </w:r>
          </w:p>
        </w:tc>
        <w:tc>
          <w:tcPr>
            <w:tcW w:w="1149" w:type="dxa"/>
            <w:tcBorders>
              <w:tl2br w:val="nil"/>
              <w:tr2bl w:val="nil"/>
            </w:tcBorders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专利授权号</w:t>
            </w:r>
          </w:p>
        </w:tc>
        <w:tc>
          <w:tcPr>
            <w:tcW w:w="1050" w:type="dxa"/>
            <w:tcBorders>
              <w:tl2br w:val="nil"/>
              <w:tr2bl w:val="nil"/>
            </w:tcBorders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专利类型</w:t>
            </w:r>
          </w:p>
        </w:tc>
        <w:tc>
          <w:tcPr>
            <w:tcW w:w="1341" w:type="dxa"/>
            <w:tcBorders>
              <w:tl2br w:val="nil"/>
              <w:tr2bl w:val="nil"/>
            </w:tcBorders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授权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909" w:type="dxa"/>
            <w:tcBorders>
              <w:tl2br w:val="nil"/>
              <w:tr2bl w:val="nil"/>
            </w:tcBorders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第几发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明人</w:t>
            </w:r>
          </w:p>
        </w:tc>
        <w:tc>
          <w:tcPr>
            <w:tcW w:w="1411" w:type="dxa"/>
            <w:tcBorders>
              <w:tl2br w:val="nil"/>
              <w:tr2bl w:val="nil"/>
            </w:tcBorders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转让或实施情况</w:t>
            </w:r>
          </w:p>
        </w:tc>
        <w:tc>
          <w:tcPr>
            <w:tcW w:w="700" w:type="dxa"/>
            <w:tcBorders>
              <w:tl2br w:val="nil"/>
              <w:tr2bl w:val="nil"/>
            </w:tcBorders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得分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67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jc w:val="left"/>
            </w:pPr>
          </w:p>
        </w:tc>
        <w:tc>
          <w:tcPr>
            <w:tcW w:w="920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jc w:val="left"/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jc w:val="left"/>
            </w:pPr>
          </w:p>
        </w:tc>
        <w:tc>
          <w:tcPr>
            <w:tcW w:w="1149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jc w:val="left"/>
            </w:pPr>
          </w:p>
        </w:tc>
        <w:tc>
          <w:tcPr>
            <w:tcW w:w="1050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jc w:val="left"/>
            </w:pPr>
          </w:p>
        </w:tc>
        <w:tc>
          <w:tcPr>
            <w:tcW w:w="1341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jc w:val="left"/>
            </w:pPr>
          </w:p>
        </w:tc>
        <w:tc>
          <w:tcPr>
            <w:tcW w:w="909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jc w:val="left"/>
            </w:pPr>
          </w:p>
        </w:tc>
        <w:tc>
          <w:tcPr>
            <w:tcW w:w="1411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jc w:val="left"/>
            </w:pPr>
          </w:p>
        </w:tc>
        <w:tc>
          <w:tcPr>
            <w:tcW w:w="700" w:type="dxa"/>
            <w:tcBorders>
              <w:bottom w:val="single" w:color="000000" w:sz="12" w:space="0"/>
              <w:tl2br w:val="nil"/>
              <w:tr2bl w:val="nil"/>
            </w:tcBorders>
          </w:tcPr>
          <w:p>
            <w:pPr>
              <w:snapToGrid w:val="0"/>
              <w:jc w:val="left"/>
            </w:pPr>
          </w:p>
          <w:p>
            <w:pPr>
              <w:snapToGrid w:val="0"/>
              <w:jc w:val="left"/>
            </w:pPr>
          </w:p>
          <w:p>
            <w:pPr>
              <w:jc w:val="left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670" w:type="dxa"/>
            <w:tcBorders>
              <w:top w:val="single" w:color="000000" w:sz="12" w:space="0"/>
            </w:tcBorders>
          </w:tcPr>
          <w:p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860" w:type="dxa"/>
            <w:tcBorders>
              <w:top w:val="single" w:color="000000" w:sz="12" w:space="0"/>
            </w:tcBorders>
          </w:tcPr>
          <w:p>
            <w:pPr>
              <w:jc w:val="left"/>
            </w:pPr>
          </w:p>
        </w:tc>
        <w:tc>
          <w:tcPr>
            <w:tcW w:w="920" w:type="dxa"/>
            <w:tcBorders>
              <w:top w:val="single" w:color="000000" w:sz="12" w:space="0"/>
            </w:tcBorders>
          </w:tcPr>
          <w:p>
            <w:pPr>
              <w:jc w:val="left"/>
            </w:pPr>
          </w:p>
        </w:tc>
        <w:tc>
          <w:tcPr>
            <w:tcW w:w="1130" w:type="dxa"/>
            <w:tcBorders>
              <w:top w:val="single" w:color="000000" w:sz="12" w:space="0"/>
            </w:tcBorders>
          </w:tcPr>
          <w:p>
            <w:pPr>
              <w:jc w:val="left"/>
            </w:pPr>
          </w:p>
        </w:tc>
        <w:tc>
          <w:tcPr>
            <w:tcW w:w="1149" w:type="dxa"/>
            <w:tcBorders>
              <w:top w:val="single" w:color="000000" w:sz="12" w:space="0"/>
            </w:tcBorders>
          </w:tcPr>
          <w:p>
            <w:pPr>
              <w:jc w:val="left"/>
            </w:pPr>
          </w:p>
        </w:tc>
        <w:tc>
          <w:tcPr>
            <w:tcW w:w="1050" w:type="dxa"/>
            <w:tcBorders>
              <w:top w:val="single" w:color="000000" w:sz="12" w:space="0"/>
            </w:tcBorders>
          </w:tcPr>
          <w:p>
            <w:pPr>
              <w:jc w:val="left"/>
            </w:pPr>
          </w:p>
        </w:tc>
        <w:tc>
          <w:tcPr>
            <w:tcW w:w="1341" w:type="dxa"/>
            <w:tcBorders>
              <w:top w:val="single" w:color="000000" w:sz="12" w:space="0"/>
            </w:tcBorders>
          </w:tcPr>
          <w:p>
            <w:pPr>
              <w:jc w:val="left"/>
            </w:pPr>
          </w:p>
        </w:tc>
        <w:tc>
          <w:tcPr>
            <w:tcW w:w="909" w:type="dxa"/>
            <w:tcBorders>
              <w:top w:val="single" w:color="000000" w:sz="12" w:space="0"/>
            </w:tcBorders>
          </w:tcPr>
          <w:p>
            <w:pPr>
              <w:jc w:val="left"/>
            </w:pPr>
          </w:p>
        </w:tc>
        <w:tc>
          <w:tcPr>
            <w:tcW w:w="1411" w:type="dxa"/>
            <w:tcBorders>
              <w:top w:val="single" w:color="000000" w:sz="12" w:space="0"/>
            </w:tcBorders>
          </w:tcPr>
          <w:p>
            <w:pPr>
              <w:jc w:val="left"/>
            </w:pPr>
          </w:p>
        </w:tc>
        <w:tc>
          <w:tcPr>
            <w:tcW w:w="700" w:type="dxa"/>
            <w:tcBorders>
              <w:top w:val="single" w:color="000000" w:sz="12" w:space="0"/>
            </w:tcBorders>
          </w:tcPr>
          <w:p>
            <w:pPr>
              <w:snapToGrid w:val="0"/>
              <w:jc w:val="left"/>
            </w:pPr>
          </w:p>
          <w:p>
            <w:pPr>
              <w:jc w:val="left"/>
            </w:pPr>
          </w:p>
        </w:tc>
      </w:tr>
    </w:tbl>
    <w:p>
      <w:pPr>
        <w:ind w:firstLine="420" w:firstLineChars="200"/>
      </w:pPr>
      <w:r>
        <w:rPr>
          <w:rFonts w:hint="eastAsia"/>
        </w:rPr>
        <w:t>注：自然科学类参考评审文件附件1-</w:t>
      </w:r>
      <w:r>
        <w:t>5</w:t>
      </w:r>
      <w:r>
        <w:rPr>
          <w:rFonts w:hint="eastAsia"/>
        </w:rPr>
        <w:t>填写，指标等级：可计分类按A-C填写，不可计分类为D级。</w:t>
      </w:r>
    </w:p>
    <w:p>
      <w:pPr>
        <w:widowControl/>
        <w:jc w:val="left"/>
        <w:rPr>
          <w:b/>
          <w:bCs/>
        </w:rPr>
      </w:pPr>
    </w:p>
    <w:tbl>
      <w:tblPr>
        <w:tblStyle w:val="6"/>
        <w:tblpPr w:leftFromText="180" w:rightFromText="180" w:vertAnchor="text" w:horzAnchor="page" w:tblpX="1218" w:tblpY="74"/>
        <w:tblOverlap w:val="never"/>
        <w:tblW w:w="101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743"/>
        <w:gridCol w:w="1643"/>
        <w:gridCol w:w="1168"/>
        <w:gridCol w:w="1134"/>
        <w:gridCol w:w="850"/>
        <w:gridCol w:w="1187"/>
        <w:gridCol w:w="7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125" w:type="dxa"/>
            <w:gridSpan w:val="8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八、科技成果转化（经费）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27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项目（成果）名称</w:t>
            </w:r>
          </w:p>
        </w:tc>
        <w:tc>
          <w:tcPr>
            <w:tcW w:w="16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项目来源</w:t>
            </w:r>
          </w:p>
        </w:tc>
        <w:tc>
          <w:tcPr>
            <w:tcW w:w="116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转化方式</w:t>
            </w:r>
          </w:p>
        </w:tc>
        <w:tc>
          <w:tcPr>
            <w:tcW w:w="113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转化年月</w:t>
            </w:r>
          </w:p>
        </w:tc>
        <w:tc>
          <w:tcPr>
            <w:tcW w:w="85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到账经费（万元）</w:t>
            </w:r>
          </w:p>
        </w:tc>
        <w:tc>
          <w:tcPr>
            <w:tcW w:w="750" w:type="dxa"/>
            <w:tcBorders>
              <w:left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/>
        </w:tc>
        <w:tc>
          <w:tcPr>
            <w:tcW w:w="27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/>
        </w:tc>
        <w:tc>
          <w:tcPr>
            <w:tcW w:w="16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/>
        </w:tc>
        <w:tc>
          <w:tcPr>
            <w:tcW w:w="1168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/>
        </w:tc>
        <w:tc>
          <w:tcPr>
            <w:tcW w:w="1134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/>
        </w:tc>
        <w:tc>
          <w:tcPr>
            <w:tcW w:w="850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/>
        </w:tc>
        <w:tc>
          <w:tcPr>
            <w:tcW w:w="1187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/>
        </w:tc>
        <w:tc>
          <w:tcPr>
            <w:tcW w:w="750" w:type="dxa"/>
            <w:tcBorders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/>
        </w:tc>
      </w:tr>
    </w:tbl>
    <w:p>
      <w:pPr>
        <w:ind w:firstLine="630" w:firstLineChars="300"/>
      </w:pPr>
      <w:r>
        <w:rPr>
          <w:rFonts w:hint="eastAsia"/>
        </w:rPr>
        <w:t>注：参考附件1-5填写，转化方式：限填转让、许可或者作价投资。</w:t>
      </w:r>
    </w:p>
    <w:p/>
    <w:p>
      <w:pPr>
        <w:widowControl/>
        <w:jc w:val="left"/>
      </w:pPr>
      <w:r>
        <w:br w:type="page"/>
      </w:r>
    </w:p>
    <w:p>
      <w:pPr>
        <w:widowControl/>
        <w:spacing w:line="600" w:lineRule="auto"/>
        <w:jc w:val="center"/>
        <w:rPr>
          <w:rFonts w:cs="方正小标宋简体" w:asciiTheme="majorEastAsia" w:hAnsiTheme="majorEastAsia" w:eastAsiaTheme="majorEastAsia"/>
          <w:b/>
          <w:kern w:val="0"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Cs w:val="21"/>
        </w:rPr>
        <w:t>双师型教师实践应用能力评价计分汇总表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ind w:firstLine="480" w:firstLineChars="200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>
      <w:pPr>
        <w:widowControl/>
        <w:spacing w:line="600" w:lineRule="auto"/>
        <w:jc w:val="center"/>
        <w:rPr>
          <w:rFonts w:asciiTheme="majorEastAsia" w:hAnsiTheme="majorEastAsia" w:eastAsiaTheme="majorEastAsia"/>
          <w:b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Cs w:val="21"/>
        </w:rPr>
        <w:t>双师型教师职务任职资格评审实践应用能力评价计分表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实施部门</w:t>
            </w:r>
          </w:p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34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spacing w:beforeLines="50"/>
        <w:jc w:val="left"/>
        <w:textAlignment w:val="center"/>
        <w:rPr>
          <w:rFonts w:cs="宋体"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szCs w:val="21"/>
        </w:rPr>
        <w:t>注：参考评审文件附件1-7表1填写，</w:t>
      </w:r>
      <w:r>
        <w:rPr>
          <w:rFonts w:hint="eastAsia" w:cs="宋体" w:asciiTheme="minorEastAsia" w:hAnsiTheme="minorEastAsia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专技技能，且与在教学岗位从事的专业技术工作密切关联。</w:t>
      </w:r>
    </w:p>
    <w:p>
      <w:pPr>
        <w:widowControl/>
        <w:jc w:val="left"/>
      </w:pPr>
    </w:p>
    <w:p>
      <w:pPr>
        <w:widowControl/>
        <w:spacing w:line="600" w:lineRule="auto"/>
        <w:ind w:firstLine="211" w:firstLineChars="100"/>
        <w:jc w:val="center"/>
        <w:rPr>
          <w:rFonts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220"/>
        <w:gridCol w:w="1221"/>
        <w:gridCol w:w="1221"/>
        <w:gridCol w:w="1221"/>
        <w:gridCol w:w="1221"/>
        <w:gridCol w:w="1432"/>
        <w:gridCol w:w="109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4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1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31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44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06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spacing w:beforeLines="50"/>
        <w:jc w:val="left"/>
        <w:textAlignment w:val="center"/>
        <w:rPr>
          <w:rFonts w:cs="Calibri" w:asciiTheme="minorEastAsia" w:hAnsiTheme="minorEastAsia"/>
          <w:spacing w:val="2"/>
          <w:kern w:val="0"/>
          <w:szCs w:val="21"/>
        </w:rPr>
      </w:pPr>
      <w:r>
        <w:rPr>
          <w:rFonts w:hint="eastAsia" w:cs="宋体" w:asciiTheme="minorEastAsia" w:hAnsiTheme="minorEastAsia"/>
          <w:kern w:val="0"/>
          <w:szCs w:val="21"/>
        </w:rPr>
        <w:t>注：</w:t>
      </w:r>
      <w:r>
        <w:rPr>
          <w:rFonts w:hint="eastAsia" w:asciiTheme="minorEastAsia" w:hAnsiTheme="minorEastAsia"/>
          <w:szCs w:val="21"/>
        </w:rPr>
        <w:t>参考评审文件附件1-7表2填写，</w:t>
      </w:r>
      <w:r>
        <w:rPr>
          <w:rFonts w:hint="eastAsia" w:cs="宋体" w:asciiTheme="minorEastAsia" w:hAnsiTheme="minorEastAsia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>
      <w:pPr>
        <w:widowControl/>
        <w:spacing w:line="48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社会服务效益（经费）</w:t>
      </w:r>
    </w:p>
    <w:tbl>
      <w:tblPr>
        <w:tblStyle w:val="6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金额</w:t>
            </w:r>
          </w:p>
        </w:tc>
        <w:tc>
          <w:tcPr>
            <w:tcW w:w="1134" w:type="dxa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Calibri" w:asciiTheme="minorEastAsia" w:hAnsiTheme="minor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jc w:val="center"/>
        <w:rPr>
          <w:rFonts w:asciiTheme="minorEastAsia" w:hAnsiTheme="minorEastAsia"/>
          <w:b/>
          <w:szCs w:val="21"/>
        </w:rPr>
      </w:pPr>
    </w:p>
    <w:p>
      <w:pPr>
        <w:widowControl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申报者各项能力积分汇总表</w:t>
      </w:r>
    </w:p>
    <w:tbl>
      <w:tblPr>
        <w:tblStyle w:val="6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教育教育能力分值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申报人或审核者签字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hint="eastAsia" w:cs="仿宋" w:asciiTheme="minorEastAsia" w:hAnsiTheme="minorEastAsia"/>
          <w:kern w:val="1"/>
          <w:szCs w:val="21"/>
        </w:rPr>
        <w:t>注：教学为主型教育教学能力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>
      <w:pPr>
        <w:widowControl/>
        <w:jc w:val="left"/>
      </w:pP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4" w:type="dxa"/>
          </w:tcPr>
          <w:p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  <w:jc w:val="center"/>
        </w:trPr>
        <w:tc>
          <w:tcPr>
            <w:tcW w:w="9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</w:rPr>
              <w:t>我于2019年10月9日调入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海南师范大学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</w:rPr>
              <w:t>马克思主义学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院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从事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</w:rPr>
              <w:t>科学技术哲学和中国现代史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的教学与研究工作，身体健康，能坚持岗位正常工作。201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年6月毕业于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</w:rPr>
              <w:t>内蒙古师范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大学，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</w:rPr>
              <w:t>科学技术史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专业，获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</w:rPr>
              <w:t>理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学博士学位，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</w:rPr>
              <w:t>博士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研究生学历。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2012年12月获得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</w:rPr>
              <w:t>中级专业技术资格证书，中教一级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资格，于201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月至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</w:rPr>
              <w:t>今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受聘为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</w:rPr>
              <w:t>一级教师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，聘任单位为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</w:rPr>
              <w:t>北重一中、海南师范大学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，聘期共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个月，受聘期间在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</w:rPr>
              <w:t>北重一中担任历史学科的教学工作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，年度考核均为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</w:rPr>
              <w:t>合格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。本次申报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</w:rPr>
              <w:t>为2021年1月转评为讲师一年后，参加申报高校教师系列专业技术岗位。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为合格学历，正常评审。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任现职以来政治思想端正，遵纪守法，恪守教师职业道德，未受任何处分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从教以来严格遵守教师职业规范，恪尽职守，积极主动对学生进行思想品德教育，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在北重一中任教期间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担任班主任，工作敬业踏实，深受学生认可，考核合格。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教学业绩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入校三年来，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讲授本科课程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门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中国近现代史纲要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》《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中西政治制度比较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》《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形式与政策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马克思主义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政治经济学原理》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为必修课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此外，还担任全校理科硕士生的《自然辩证法概论》课程教学工作。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从201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-20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学年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共计五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学期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2019-2020学年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课堂讲授总课时数为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课时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2020-2021学年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课堂讲授总课时数为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276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课时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2021-2022年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课堂讲授总课时数为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360课时，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所讲授课程保质保量，课堂教学质量评价均为A级。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1.指导学生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年参加本科生毕业论文指导工作，指导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2016届思想政治教育专业3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名本科生毕业论文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分别取得82、88、89分的良好成绩，并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均顺利完成指导工作。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2021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年参加本科生毕业论文指导工作，指导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2017届思想政治教育专业3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名本科生毕业论文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分别取得85、93、95分，两人获得优秀论文，并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均顺利完成指导工作。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2022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年参加本科生毕业论文指导工作，指导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2018届思想政治教育专业1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名本科生毕业论文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获得优秀论文，并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均顺利完成指导工作。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5" w:leftChars="0" w:hanging="425" w:firstLineChars="0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2022年指导卢智翔、陈立栋、杨航参加“海南师范大学2022年大学生志愿者暑期文化科技卫生“三下乡”社会实践活动”，优秀调查报告（论文）《自贸港建设背景下三亚深海科技城担当“深海使命”研究》获得二等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2.积极教改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发表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省级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期刊教改论文1篇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《民国高中化学教科书中稀土知识的探究》(《内蒙古师范大学学报(教育科学版)》2019年第5期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)，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提出应将稀土科技的先进知识尽快编写入中学的教材中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海南师范大学教育教学改革研究项目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（课题批准号：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hsjg2020-35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课题名称：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“南繁硅谷”技术创新研究——以南繁科学技术研究院为中心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,提出应将南繁科技和南繁精神的先进知识尽快融入高校思政教学中，并于2022年5月已经结项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5" w:leftChars="0" w:hanging="425" w:firstLineChars="0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海南师范大学研究生课程建设项目已结题，并验收通过，课题名称：《自然辩证法》教学改革研究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leftChars="0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项目批准号：无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二、科研业绩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1.学术论文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5" w:leftChars="0" w:hanging="425" w:firstLineChars="0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1.2015年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《&lt;手敕太子文&gt;和&lt;遗诏敕后主&gt;的比较及其家庭教育意义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思政和家庭教育论文，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发表于《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阴山学刊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2017年内蒙古师范大学研究生科研创新基金资助项目（课题批准号：CXJJB17009）主持并完成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项目，以论文《我国第一个稀土生产工厂的创建及早期发展(1953―1963)》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发表于《自然辩证法通讯》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（CSSCI）结项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完成了《“稀土大国”崛起的历程——马鹏起先生访谈录》发表于《中国科技史杂志》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（CSSCI）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2019年 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走向稀土大国的创新之路——包钢稀土一厂的复产与扩建(1964—1977)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发表于《中国科技史杂志》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（CSSCI）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2020年《走向稀土大国的创新之路——包钢稀土一厂的技术创新（1978-1982）》发表于《自然辩证法通讯》（CSSCI）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5" w:leftChars="0" w:hanging="425" w:firstLineChars="0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2021年《端自家碗装自己粮，中国南繁在崛起 农业管理专家柯用春访谈》南繁科技史论文，发表于《科学文化评论》。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5" w:leftChars="0" w:hanging="425" w:firstLineChars="0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还包括稀土材料的认识和使用的文章：《话说稀土抛光材料》《“起底”稀土储氢材料》《“起底”稀土磁制冷材料》《问稀土发光材料为何物?》《稀土发火合金材料——“打火石”的传奇》《永磁材料的“前世今生”——从“司南”到“钕铁硼”》，在《新材料产业》《稀土信息》等学术刊物上发表的稀土材料史类文章15篇，在学术界有较好的反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left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2.主持和参与的课题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参与国家课题1项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新中国装备制造业的创新发展及其在西部的移植与变迁(13BZS047)，参与博导申请国家社会科学基金资助项目；起止时间：2013年3月―2018年9月；经费：20万；项目负责人完成第十章《包钢稀土工业创新发展之路：从试验厂到北方稀土集团》内容撰写工作，已结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5" w:leftChars="0" w:hanging="425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获得省部级研究课题2项：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2022年南省马克思主义理论研究和建设工程重点项目建设委托专项课题：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200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项目名称：海南自贸港建设背景下弘扬“南繁精神”研究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项目批准号：2022HNMGCWT02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2022年度海南省哲学社会科学规划课题：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课题名称：乡村振兴战略下海南盐文化和盐田遗产系统性保护研究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项目批准号：HNSK(ZC)22-185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5" w:leftChars="0" w:hanging="425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获得市级研究课题1项已结题：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200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课题名称：巩固攻坚脱贫成果与乡村振兴有效衔接的现实路径研究——基于海口市农业科研机构的调查项目批准号：2022-ZZKT-07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leftChars="0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3.正在出版专著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left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公开出版20多万字学术专著1部《</w:t>
            </w:r>
            <w:bookmarkStart w:id="0" w:name="_Toc21834"/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稀土与稀有材料简史</w:t>
            </w:r>
            <w:bookmarkEnd w:id="0"/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》，正在出版中。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在未来的岁月中，我继续努力，认真备课，专心科研，多出成绩。</w:t>
            </w:r>
          </w:p>
          <w:p/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本人承诺：</w:t>
            </w:r>
          </w:p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以下所提供的个人信息和证明材料真实准确，若因失实而造成的一切后果，责任由本人承担。</w:t>
            </w:r>
          </w:p>
          <w:p/>
          <w:p/>
          <w:p/>
          <w:p/>
          <w:p>
            <w:r>
              <w:rPr>
                <w:rFonts w:hint="eastAsia"/>
              </w:rPr>
              <w:t xml:space="preserve">                                                       签名：            </w:t>
            </w:r>
            <w:r>
              <w:rPr>
                <w:rFonts w:hint="default" w:ascii="Times New Roman" w:hAnsi="Times New Roman" w:cs="Times New Roman"/>
              </w:rPr>
              <w:t xml:space="preserve">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2023</w:t>
            </w:r>
            <w:r>
              <w:rPr>
                <w:rFonts w:hint="default" w:ascii="Times New Roman" w:hAnsi="Times New Roman" w:cs="Times New Roman"/>
              </w:rPr>
              <w:t xml:space="preserve"> 年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</w:rPr>
              <w:t xml:space="preserve"> 月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</w:rPr>
              <w:t xml:space="preserve"> 日</w:t>
            </w:r>
          </w:p>
        </w:tc>
      </w:tr>
    </w:tbl>
    <w:p/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6"/>
        <w:tblW w:w="974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霍知节</w:t>
            </w:r>
          </w:p>
        </w:tc>
        <w:tc>
          <w:tcPr>
            <w:tcW w:w="154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马克思主义学院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马克思主义理论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教学科研型副教授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请根据《条件》中相应的教学业绩条件1及申报人的教学业绩进行鉴定：</w:t>
            </w: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请根据《条件》中相应的科研业绩条件及申报人的科研业绩进行鉴定：</w:t>
            </w: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7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二级学院职称评审推荐工作委员会成员签名：</w:t>
            </w: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600" w:firstLineChars="12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日期：          年    月    日</w:t>
            </w:r>
          </w:p>
          <w:p>
            <w:pPr>
              <w:spacing w:line="360" w:lineRule="exact"/>
              <w:ind w:firstLine="3600" w:firstLineChars="1200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>
      <w:pPr>
        <w:ind w:firstLine="300" w:firstLineChars="1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注：只对申报教授、副教授人员书写鉴定意见。</w:t>
      </w:r>
    </w:p>
    <w:p/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二级学院职称评审推荐工作委员会审核推荐意见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hint="eastAsia" w:cs="Arial" w:asciiTheme="minorEastAsia" w:hAnsiTheme="minorEastAsia"/>
                <w:kern w:val="0"/>
                <w:sz w:val="24"/>
                <w:szCs w:val="24"/>
              </w:rPr>
              <w:t>〔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87号文规定，经鉴定审核，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  <w:lang w:val="en-US" w:eastAsia="zh-CN"/>
              </w:rPr>
              <w:t>霍知节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同志的申报材料真实完整，并经    年  月  日至    月   日公示无异议，同意推荐其参评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  <w:lang w:val="en-US" w:eastAsia="zh-CN"/>
              </w:rPr>
              <w:t xml:space="preserve">马克思主义理论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专业技术资格职称。</w:t>
            </w:r>
          </w:p>
          <w:p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材料审核人：              学院院长签字（盖章）：          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 表 性</w:t>
            </w:r>
          </w:p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成果名称</w:t>
            </w:r>
          </w:p>
          <w:p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代表性成果1名称：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代表性成果2名称：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优秀    票，良好    票，合格     票，不合格     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申报人答辨情况：</w:t>
            </w:r>
            <w:r>
              <w:rPr>
                <w:kern w:val="0"/>
              </w:rPr>
              <w:t xml:space="preserve"> </w:t>
            </w: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  <w:p>
            <w:pPr>
              <w:rPr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年    月    日</w:t>
            </w:r>
          </w:p>
          <w:p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</w:tbl>
    <w:p/>
    <w:p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238" w:type="dxa"/>
            <w:vMerge w:val="restart"/>
            <w:textDirection w:val="tbRlV"/>
            <w:vAlign w:val="center"/>
          </w:tcPr>
          <w:p>
            <w:pPr>
              <w:ind w:left="113" w:leftChars="54" w:right="113" w:firstLine="210" w:firstLineChars="1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ind w:firstLine="180" w:firstLineChars="100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>
            <w:pPr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  <w:jc w:val="center"/>
        </w:trPr>
        <w:tc>
          <w:tcPr>
            <w:tcW w:w="123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  <w:jc w:val="center"/>
        </w:trPr>
        <w:tc>
          <w:tcPr>
            <w:tcW w:w="123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ind w:firstLine="6195" w:firstLineChars="295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>
            <w:pPr>
              <w:ind w:firstLine="420" w:firstLineChars="200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559" w:right="1134" w:bottom="720" w:left="1134" w:header="851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8BED370-8DD9-43BA-9D67-263BCD808E8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CA1E956-FEDC-4096-A75D-476C525CF83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0765FFCC-8DEE-4571-A4AE-401BB53EA4D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22CEC217-EE5B-4FC7-A940-41366B37B1A5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E409D1DD-A9D0-42EA-8CA2-5C56BD00942B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6" w:fontKey="{607799FF-2543-4A66-867D-A664E6C2024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192297"/>
    </w:sdtPr>
    <w:sdtContent>
      <w:sdt>
        <w:sdtPr>
          <w:id w:val="98381352"/>
        </w:sdtPr>
        <w:sdtContent>
          <w:p>
            <w:pPr>
              <w:pStyle w:val="3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13125"/>
    </w:sdtPr>
    <w:sdtContent>
      <w:sdt>
        <w:sdtPr>
          <w:id w:val="19013124"/>
        </w:sdtPr>
        <w:sdtContent>
          <w:p>
            <w:pPr>
              <w:pStyle w:val="3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8E9CCE"/>
    <w:multiLevelType w:val="singleLevel"/>
    <w:tmpl w:val="D68E9CCE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FC861CAF"/>
    <w:multiLevelType w:val="singleLevel"/>
    <w:tmpl w:val="FC861CA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1EF07B4"/>
    <w:multiLevelType w:val="singleLevel"/>
    <w:tmpl w:val="11EF07B4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3">
    <w:nsid w:val="3412D2A7"/>
    <w:multiLevelType w:val="singleLevel"/>
    <w:tmpl w:val="3412D2A7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4">
    <w:nsid w:val="3EE7874D"/>
    <w:multiLevelType w:val="singleLevel"/>
    <w:tmpl w:val="3EE7874D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5">
    <w:nsid w:val="4345F0A1"/>
    <w:multiLevelType w:val="singleLevel"/>
    <w:tmpl w:val="4345F0A1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E4N2IxOTMxNzM5ZjgyNTk3Zjc3ZThiMjQ4Y2U4ZDMifQ=="/>
  </w:docVars>
  <w:rsids>
    <w:rsidRoot w:val="0033126B"/>
    <w:rsid w:val="000077C7"/>
    <w:rsid w:val="000204C4"/>
    <w:rsid w:val="0002075C"/>
    <w:rsid w:val="00024587"/>
    <w:rsid w:val="00025AA6"/>
    <w:rsid w:val="00035ADA"/>
    <w:rsid w:val="00050B41"/>
    <w:rsid w:val="00052874"/>
    <w:rsid w:val="00057965"/>
    <w:rsid w:val="000734BB"/>
    <w:rsid w:val="000835E5"/>
    <w:rsid w:val="00086C19"/>
    <w:rsid w:val="00091D39"/>
    <w:rsid w:val="00093E8E"/>
    <w:rsid w:val="000A1C4F"/>
    <w:rsid w:val="000A53B5"/>
    <w:rsid w:val="000A6447"/>
    <w:rsid w:val="000B25F1"/>
    <w:rsid w:val="000B5BC8"/>
    <w:rsid w:val="000B7DCE"/>
    <w:rsid w:val="000B7E3F"/>
    <w:rsid w:val="000C7246"/>
    <w:rsid w:val="000D559F"/>
    <w:rsid w:val="000E1FCC"/>
    <w:rsid w:val="000E3B0E"/>
    <w:rsid w:val="000E777B"/>
    <w:rsid w:val="000F1493"/>
    <w:rsid w:val="000F2B39"/>
    <w:rsid w:val="00100416"/>
    <w:rsid w:val="00102860"/>
    <w:rsid w:val="001034FB"/>
    <w:rsid w:val="00106765"/>
    <w:rsid w:val="00110033"/>
    <w:rsid w:val="001152EC"/>
    <w:rsid w:val="00123022"/>
    <w:rsid w:val="0012343B"/>
    <w:rsid w:val="0012740F"/>
    <w:rsid w:val="0012753C"/>
    <w:rsid w:val="00136E7A"/>
    <w:rsid w:val="00160D6D"/>
    <w:rsid w:val="00163F01"/>
    <w:rsid w:val="001650A1"/>
    <w:rsid w:val="00171343"/>
    <w:rsid w:val="00187EAB"/>
    <w:rsid w:val="00192A61"/>
    <w:rsid w:val="001937B2"/>
    <w:rsid w:val="001937B4"/>
    <w:rsid w:val="001B0A30"/>
    <w:rsid w:val="001B2C61"/>
    <w:rsid w:val="001C4443"/>
    <w:rsid w:val="001D2597"/>
    <w:rsid w:val="001E1E38"/>
    <w:rsid w:val="00211798"/>
    <w:rsid w:val="00216FF6"/>
    <w:rsid w:val="00226AC5"/>
    <w:rsid w:val="002270A7"/>
    <w:rsid w:val="002326D9"/>
    <w:rsid w:val="002347B7"/>
    <w:rsid w:val="00243159"/>
    <w:rsid w:val="00247B30"/>
    <w:rsid w:val="00257618"/>
    <w:rsid w:val="00271356"/>
    <w:rsid w:val="002859E6"/>
    <w:rsid w:val="00295BBE"/>
    <w:rsid w:val="002B5D77"/>
    <w:rsid w:val="002C2E4D"/>
    <w:rsid w:val="002E42F6"/>
    <w:rsid w:val="002F1EC4"/>
    <w:rsid w:val="00312C89"/>
    <w:rsid w:val="00314EE7"/>
    <w:rsid w:val="00315AAE"/>
    <w:rsid w:val="00324D00"/>
    <w:rsid w:val="0033126B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84C68"/>
    <w:rsid w:val="0039460C"/>
    <w:rsid w:val="003B5BA5"/>
    <w:rsid w:val="003B7454"/>
    <w:rsid w:val="003C6F7B"/>
    <w:rsid w:val="003D6C2A"/>
    <w:rsid w:val="003E3539"/>
    <w:rsid w:val="003F6AC8"/>
    <w:rsid w:val="00403377"/>
    <w:rsid w:val="00410217"/>
    <w:rsid w:val="00413D18"/>
    <w:rsid w:val="00417FC6"/>
    <w:rsid w:val="00421B6F"/>
    <w:rsid w:val="00424D1B"/>
    <w:rsid w:val="00433D52"/>
    <w:rsid w:val="004542AC"/>
    <w:rsid w:val="00455996"/>
    <w:rsid w:val="004632E2"/>
    <w:rsid w:val="00471E45"/>
    <w:rsid w:val="00477CC6"/>
    <w:rsid w:val="00481C0E"/>
    <w:rsid w:val="004849BB"/>
    <w:rsid w:val="00492E46"/>
    <w:rsid w:val="00495AB1"/>
    <w:rsid w:val="004A2B71"/>
    <w:rsid w:val="004A7AE8"/>
    <w:rsid w:val="004B1AFD"/>
    <w:rsid w:val="004B1CCE"/>
    <w:rsid w:val="004C36A3"/>
    <w:rsid w:val="004D5EAE"/>
    <w:rsid w:val="004E6217"/>
    <w:rsid w:val="004E65CB"/>
    <w:rsid w:val="004F21A1"/>
    <w:rsid w:val="00501DE0"/>
    <w:rsid w:val="00507D8E"/>
    <w:rsid w:val="00523155"/>
    <w:rsid w:val="005263B4"/>
    <w:rsid w:val="00535A0B"/>
    <w:rsid w:val="00543465"/>
    <w:rsid w:val="005617BD"/>
    <w:rsid w:val="00565F0F"/>
    <w:rsid w:val="0057651F"/>
    <w:rsid w:val="0057729A"/>
    <w:rsid w:val="00580981"/>
    <w:rsid w:val="00583E93"/>
    <w:rsid w:val="005B6A8B"/>
    <w:rsid w:val="005E06B1"/>
    <w:rsid w:val="005E3440"/>
    <w:rsid w:val="005E58F4"/>
    <w:rsid w:val="005F645A"/>
    <w:rsid w:val="00607D1E"/>
    <w:rsid w:val="00622561"/>
    <w:rsid w:val="0062256C"/>
    <w:rsid w:val="00623BB8"/>
    <w:rsid w:val="00647D66"/>
    <w:rsid w:val="00652272"/>
    <w:rsid w:val="00661C50"/>
    <w:rsid w:val="00661D38"/>
    <w:rsid w:val="006646A1"/>
    <w:rsid w:val="00674EFB"/>
    <w:rsid w:val="0069036C"/>
    <w:rsid w:val="00690D02"/>
    <w:rsid w:val="00691EF6"/>
    <w:rsid w:val="006B1E56"/>
    <w:rsid w:val="006E5989"/>
    <w:rsid w:val="006E7E68"/>
    <w:rsid w:val="007031A9"/>
    <w:rsid w:val="00713721"/>
    <w:rsid w:val="00714623"/>
    <w:rsid w:val="00724356"/>
    <w:rsid w:val="007313BA"/>
    <w:rsid w:val="00734128"/>
    <w:rsid w:val="007415CC"/>
    <w:rsid w:val="00741F1A"/>
    <w:rsid w:val="00746377"/>
    <w:rsid w:val="007551B0"/>
    <w:rsid w:val="00777776"/>
    <w:rsid w:val="007965C2"/>
    <w:rsid w:val="007A6787"/>
    <w:rsid w:val="007A6B08"/>
    <w:rsid w:val="007A6DCF"/>
    <w:rsid w:val="007C4C8E"/>
    <w:rsid w:val="007E6312"/>
    <w:rsid w:val="007E7FD3"/>
    <w:rsid w:val="007F07A4"/>
    <w:rsid w:val="00805C35"/>
    <w:rsid w:val="00812C68"/>
    <w:rsid w:val="00820FD3"/>
    <w:rsid w:val="008269F0"/>
    <w:rsid w:val="00826A66"/>
    <w:rsid w:val="00830327"/>
    <w:rsid w:val="00833AA5"/>
    <w:rsid w:val="00837A92"/>
    <w:rsid w:val="00855D32"/>
    <w:rsid w:val="008653D4"/>
    <w:rsid w:val="00867374"/>
    <w:rsid w:val="008678EB"/>
    <w:rsid w:val="00872E0F"/>
    <w:rsid w:val="008764C0"/>
    <w:rsid w:val="00876F0D"/>
    <w:rsid w:val="00882519"/>
    <w:rsid w:val="00894606"/>
    <w:rsid w:val="0089698F"/>
    <w:rsid w:val="008B4063"/>
    <w:rsid w:val="008B5E5E"/>
    <w:rsid w:val="008B687A"/>
    <w:rsid w:val="008C4C0F"/>
    <w:rsid w:val="008D60E5"/>
    <w:rsid w:val="00902DB2"/>
    <w:rsid w:val="00905296"/>
    <w:rsid w:val="00912A23"/>
    <w:rsid w:val="00927B7A"/>
    <w:rsid w:val="009332E6"/>
    <w:rsid w:val="009363D5"/>
    <w:rsid w:val="00956FEE"/>
    <w:rsid w:val="009624BB"/>
    <w:rsid w:val="00962F66"/>
    <w:rsid w:val="00967876"/>
    <w:rsid w:val="00974F96"/>
    <w:rsid w:val="009768A0"/>
    <w:rsid w:val="00984D31"/>
    <w:rsid w:val="00986608"/>
    <w:rsid w:val="00992502"/>
    <w:rsid w:val="009C1F06"/>
    <w:rsid w:val="009E353C"/>
    <w:rsid w:val="009E64C8"/>
    <w:rsid w:val="00A03435"/>
    <w:rsid w:val="00A12F14"/>
    <w:rsid w:val="00A14210"/>
    <w:rsid w:val="00A15E5A"/>
    <w:rsid w:val="00A377FB"/>
    <w:rsid w:val="00A600A4"/>
    <w:rsid w:val="00A64CA0"/>
    <w:rsid w:val="00A74B54"/>
    <w:rsid w:val="00AA252B"/>
    <w:rsid w:val="00AB4B1E"/>
    <w:rsid w:val="00AD5CCC"/>
    <w:rsid w:val="00AE18A7"/>
    <w:rsid w:val="00AF2BB3"/>
    <w:rsid w:val="00AF445F"/>
    <w:rsid w:val="00B036DE"/>
    <w:rsid w:val="00B06BF4"/>
    <w:rsid w:val="00B07F41"/>
    <w:rsid w:val="00B16465"/>
    <w:rsid w:val="00B20A8D"/>
    <w:rsid w:val="00B22E22"/>
    <w:rsid w:val="00B27696"/>
    <w:rsid w:val="00B80533"/>
    <w:rsid w:val="00B82843"/>
    <w:rsid w:val="00BA646C"/>
    <w:rsid w:val="00BB52F4"/>
    <w:rsid w:val="00BC7F6D"/>
    <w:rsid w:val="00BD1A32"/>
    <w:rsid w:val="00BD4E90"/>
    <w:rsid w:val="00BF0225"/>
    <w:rsid w:val="00BF37BD"/>
    <w:rsid w:val="00C008D8"/>
    <w:rsid w:val="00C0165A"/>
    <w:rsid w:val="00C34D75"/>
    <w:rsid w:val="00C35A03"/>
    <w:rsid w:val="00C3645D"/>
    <w:rsid w:val="00C53042"/>
    <w:rsid w:val="00C6384D"/>
    <w:rsid w:val="00C65AB8"/>
    <w:rsid w:val="00C722D7"/>
    <w:rsid w:val="00C77711"/>
    <w:rsid w:val="00C824FA"/>
    <w:rsid w:val="00C828EC"/>
    <w:rsid w:val="00C90195"/>
    <w:rsid w:val="00C93845"/>
    <w:rsid w:val="00C96100"/>
    <w:rsid w:val="00CB1F99"/>
    <w:rsid w:val="00CC4D6F"/>
    <w:rsid w:val="00CC7EE7"/>
    <w:rsid w:val="00CD2226"/>
    <w:rsid w:val="00CD42FF"/>
    <w:rsid w:val="00CD7981"/>
    <w:rsid w:val="00CE15B9"/>
    <w:rsid w:val="00CF6E1A"/>
    <w:rsid w:val="00D20B34"/>
    <w:rsid w:val="00D273BE"/>
    <w:rsid w:val="00D36A37"/>
    <w:rsid w:val="00D3748A"/>
    <w:rsid w:val="00D416C2"/>
    <w:rsid w:val="00D41CF0"/>
    <w:rsid w:val="00D66B57"/>
    <w:rsid w:val="00DA3AD6"/>
    <w:rsid w:val="00DA6B66"/>
    <w:rsid w:val="00DB02E4"/>
    <w:rsid w:val="00DB42ED"/>
    <w:rsid w:val="00DC11A1"/>
    <w:rsid w:val="00DD5F4F"/>
    <w:rsid w:val="00DD7968"/>
    <w:rsid w:val="00DE299B"/>
    <w:rsid w:val="00DE3F60"/>
    <w:rsid w:val="00DE5271"/>
    <w:rsid w:val="00E05692"/>
    <w:rsid w:val="00E07849"/>
    <w:rsid w:val="00E10077"/>
    <w:rsid w:val="00E161A5"/>
    <w:rsid w:val="00E206F2"/>
    <w:rsid w:val="00E55EEB"/>
    <w:rsid w:val="00E57AA4"/>
    <w:rsid w:val="00E61743"/>
    <w:rsid w:val="00E62D0D"/>
    <w:rsid w:val="00E713EE"/>
    <w:rsid w:val="00EA2543"/>
    <w:rsid w:val="00EA5CB0"/>
    <w:rsid w:val="00EB1023"/>
    <w:rsid w:val="00ED30F2"/>
    <w:rsid w:val="00EE2F78"/>
    <w:rsid w:val="00EE3937"/>
    <w:rsid w:val="00EE5924"/>
    <w:rsid w:val="00EE79DB"/>
    <w:rsid w:val="00F02B0D"/>
    <w:rsid w:val="00F15B17"/>
    <w:rsid w:val="00F1668D"/>
    <w:rsid w:val="00F200F9"/>
    <w:rsid w:val="00F22090"/>
    <w:rsid w:val="00F24A17"/>
    <w:rsid w:val="00F25C10"/>
    <w:rsid w:val="00F50D1D"/>
    <w:rsid w:val="00F6664A"/>
    <w:rsid w:val="00F75973"/>
    <w:rsid w:val="00F770C0"/>
    <w:rsid w:val="00F82DFD"/>
    <w:rsid w:val="00F841C6"/>
    <w:rsid w:val="00F8579D"/>
    <w:rsid w:val="00F93089"/>
    <w:rsid w:val="00F93A86"/>
    <w:rsid w:val="00FA4387"/>
    <w:rsid w:val="00FB3155"/>
    <w:rsid w:val="00FD5538"/>
    <w:rsid w:val="00FE52BF"/>
    <w:rsid w:val="00FF0622"/>
    <w:rsid w:val="00FF54C9"/>
    <w:rsid w:val="04F82111"/>
    <w:rsid w:val="062D453D"/>
    <w:rsid w:val="0643325A"/>
    <w:rsid w:val="0A9B39E1"/>
    <w:rsid w:val="153B3244"/>
    <w:rsid w:val="1E1E083D"/>
    <w:rsid w:val="23CB5339"/>
    <w:rsid w:val="26C836D0"/>
    <w:rsid w:val="2A685020"/>
    <w:rsid w:val="2ACB7455"/>
    <w:rsid w:val="2CBF0E1F"/>
    <w:rsid w:val="2D7A4D09"/>
    <w:rsid w:val="33D6278A"/>
    <w:rsid w:val="345C0152"/>
    <w:rsid w:val="379337FE"/>
    <w:rsid w:val="38BA425C"/>
    <w:rsid w:val="41346F6E"/>
    <w:rsid w:val="43D9101E"/>
    <w:rsid w:val="46D5319E"/>
    <w:rsid w:val="46F23FFE"/>
    <w:rsid w:val="499C1040"/>
    <w:rsid w:val="49C05A15"/>
    <w:rsid w:val="49DF4468"/>
    <w:rsid w:val="4FAC2204"/>
    <w:rsid w:val="59030A18"/>
    <w:rsid w:val="6AC141C7"/>
    <w:rsid w:val="6B0E631A"/>
    <w:rsid w:val="6F332D93"/>
    <w:rsid w:val="72E43A18"/>
    <w:rsid w:val="7CFD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52flin</Company>
  <Pages>23</Pages>
  <Words>9971</Words>
  <Characters>11494</Characters>
  <Lines>81</Lines>
  <Paragraphs>22</Paragraphs>
  <TotalTime>13</TotalTime>
  <ScaleCrop>false</ScaleCrop>
  <LinksUpToDate>false</LinksUpToDate>
  <CharactersWithSpaces>13423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2023-05-22T08:09:00Z</dcterms:created>
  <dc:creator>符桑岚</dc:creator>
  <cp:lastModifiedBy>申明远</cp:lastModifiedBy>
  <cp:lastPrinted>2022-11-17T03:10:00Z</cp:lastPrinted>
  <dcterms:modified xsi:type="dcterms:W3CDTF">2023-09-06T08:59:16Z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30D47DAD9AAC42E682495CA7025E11C9_13</vt:lpwstr>
  </property>
</Properties>
</file>